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>Совет сельского поселения Чураевский сельсовет муниципального района Мишкинский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B16" w:rsidRDefault="008611AF" w:rsidP="00D204A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B17579">
        <w:rPr>
          <w:rFonts w:ascii="Times New Roman" w:hAnsi="Times New Roman" w:cs="Times New Roman"/>
          <w:sz w:val="28"/>
          <w:szCs w:val="28"/>
        </w:rPr>
        <w:t>27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D204AA" w:rsidRPr="00D204AA" w:rsidRDefault="00D204AA" w:rsidP="00D204A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204AA" w:rsidRDefault="00D204AA" w:rsidP="00D20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О внесении изменений в решение Совета сельского поселения Чураевский сельсовет муниципального района Мишкинский район Республики Башкортостан от 26.05.2017 №148 «Об утверждении Правил землепользования и застройки сельского поселения Чураевский  сельсовет муниципального района Мишкинский район Республики Башкортостан» </w:t>
      </w:r>
    </w:p>
    <w:p w:rsidR="00D204AA" w:rsidRPr="00D204AA" w:rsidRDefault="00D204AA" w:rsidP="00D2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4AA">
        <w:rPr>
          <w:rFonts w:ascii="Times New Roman" w:eastAsia="Calibri" w:hAnsi="Times New Roman" w:cs="Times New Roman"/>
          <w:sz w:val="28"/>
          <w:szCs w:val="28"/>
        </w:rPr>
        <w:t>(</w:t>
      </w:r>
      <w:r w:rsidRPr="00D204AA">
        <w:rPr>
          <w:rFonts w:ascii="Times New Roman" w:hAnsi="Times New Roman" w:cs="Times New Roman"/>
          <w:sz w:val="28"/>
          <w:szCs w:val="28"/>
        </w:rPr>
        <w:t>в ред. от 05.07.2018 №219, от 19.07.2019 №288, от 12.05.2020 № 64)</w:t>
      </w:r>
    </w:p>
    <w:p w:rsidR="00D204AA" w:rsidRPr="00D204AA" w:rsidRDefault="00D204AA" w:rsidP="00D2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04A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п. п. 1. 3. 4. 4.2, 4.3, 10  ч.7 ст.51 Градостроительного кодекса Российской Федерации,</w:t>
      </w:r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Чураевский  сельсовет муниципального района Мишкинский район Республики Башкортостан двадцать восьмого созыва р е ш и л:</w:t>
      </w: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       1. Внести в решение Совета сельского поселения Чураевский  сельсовет муниципального района Мишкинский район Республики Башкортостан от 26.05.2017 №148 «Об утверждении Правил землепользования и застройки сельского поселения Чураевский  сельсовет муниципального района Мишкинский район Республики Башкортостан» </w:t>
      </w:r>
      <w:r w:rsidRPr="00D204AA">
        <w:rPr>
          <w:rFonts w:ascii="Times New Roman" w:eastAsia="Calibri" w:hAnsi="Times New Roman" w:cs="Times New Roman"/>
          <w:sz w:val="28"/>
          <w:szCs w:val="28"/>
        </w:rPr>
        <w:t>(</w:t>
      </w:r>
      <w:r w:rsidRPr="00D204AA">
        <w:rPr>
          <w:rFonts w:ascii="Times New Roman" w:hAnsi="Times New Roman" w:cs="Times New Roman"/>
          <w:sz w:val="28"/>
          <w:szCs w:val="28"/>
        </w:rPr>
        <w:t>в ред. от 05.07.2018 №219, от 19.07.2019 №288, от 12.05.2020 № 64</w:t>
      </w:r>
      <w:r w:rsidRPr="00D204AA">
        <w:rPr>
          <w:rFonts w:ascii="Times New Roman" w:eastAsia="Calibri" w:hAnsi="Times New Roman" w:cs="Times New Roman"/>
          <w:sz w:val="28"/>
          <w:szCs w:val="28"/>
        </w:rPr>
        <w:t>)</w:t>
      </w:r>
      <w:r w:rsidRPr="00D204AA">
        <w:rPr>
          <w:rFonts w:ascii="Times New Roman" w:eastAsia="Calibri" w:hAnsi="Times New Roman" w:cs="Times New Roman"/>
          <w:sz w:val="28"/>
        </w:rPr>
        <w:t xml:space="preserve"> следующие изменения и дополнения: 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1.1 часть 6 статьи 35 изложить в следующей редакции: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«6.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”Росатом”, Государственную корпорацию по космической деятельности ”Роскосмос".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1) 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D204AA">
        <w:rPr>
          <w:rFonts w:ascii="Times New Roman" w:hAnsi="Times New Roman"/>
          <w:sz w:val="28"/>
          <w:szCs w:val="28"/>
        </w:rPr>
        <w:lastRenderedPageBreak/>
        <w:t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настоящей статьи; результаты инженерных изысканий и следующие материалы, содержащиеся в утвержденной в соответствии с частью 15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 xml:space="preserve"> </w:t>
      </w:r>
      <w:r w:rsidRPr="00D204AA">
        <w:rPr>
          <w:rFonts w:ascii="Times New Roman" w:hAnsi="Times New Roman"/>
          <w:sz w:val="28"/>
          <w:szCs w:val="28"/>
        </w:rPr>
        <w:t>статьи 48 настоящего Кодекса проектной документации: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а) пояснительная записка;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>случаев</w:t>
      </w:r>
      <w:r w:rsidRPr="00D204AA">
        <w:rPr>
          <w:rFonts w:ascii="Times New Roman" w:hAnsi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д) положительное заключение экспертизы проектной документации (в части соответствия проектной документации требованиям, указанным в пункте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lastRenderedPageBreak/>
        <w:t xml:space="preserve">      е)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ж)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 xml:space="preserve"> статьи 49</w:t>
      </w:r>
      <w:r w:rsidRPr="00D204AA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з)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</w:t>
      </w:r>
      <w:r w:rsidRPr="00D204AA">
        <w:rPr>
          <w:rFonts w:ascii="Times New Roman" w:hAnsi="Times New Roman"/>
          <w:b/>
          <w:sz w:val="28"/>
          <w:szCs w:val="28"/>
        </w:rPr>
        <w:t>1.2. пункты 8,9 статьи 35 дополнить абзацем следующего содержания:</w:t>
      </w: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      В соответствии с ч.11 ст.51 ГрК РФ, 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строительство, за исключением случая, предусмотренного частью 11.1 настоящей статьи: проводят проверку наличия документов, необходимых для принятия решения о выдаче разрешения на строительство;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</w:t>
      </w:r>
      <w:r w:rsidRPr="00D204AA">
        <w:rPr>
          <w:rFonts w:ascii="Times New Roman" w:eastAsia="Calibri" w:hAnsi="Times New Roman" w:cs="Times New Roman"/>
          <w:sz w:val="28"/>
        </w:rPr>
        <w:lastRenderedPageBreak/>
        <w:t>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выдают разрешение на строительство или отказывают в выдаче такого разрешения с указанием причин отказа.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Согласно ч. 11.1 ст. 51 ГрК РФ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 строительство или реконструкция объекта капитального строительства, уполномоченные на выдачу разрешений на строительство орган местного самоуправления,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строительства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 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1.3.  ч.16 ст. 35 изложить в следующей редакции: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«16. Разрешений на строительство орган местного самоуправления отказывают в выдаче разрешения на строительство при отсутствии документов, предусмотренных частью 7 настоящей статьи, или </w:t>
      </w:r>
      <w:r w:rsidRPr="00D204AA">
        <w:rPr>
          <w:rFonts w:ascii="Times New Roman" w:eastAsia="Calibri" w:hAnsi="Times New Roman" w:cs="Times New Roman"/>
          <w:sz w:val="28"/>
        </w:rPr>
        <w:lastRenderedPageBreak/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утверждённой в соответствии с договором о комплексном развитии территории (за исключением случаев самостоятельной реализации Российской Федерации,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Федерации или субъектом Российской Федерации).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1.4.  ч.1 ст.27 изложить в следующей редакции: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«1. 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а)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</w:t>
      </w:r>
      <w:r w:rsidRPr="00D204AA">
        <w:rPr>
          <w:rFonts w:ascii="Times New Roman" w:hAnsi="Times New Roman"/>
          <w:sz w:val="28"/>
          <w:szCs w:val="28"/>
        </w:rPr>
        <w:lastRenderedPageBreak/>
        <w:t>результате внесения в такие генеральные планы или схему территориального планирования муниципального района изменений;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б)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 в) поступление предложений об изменении границ территориальных зон, изменении градостроительных регламентов;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г)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д)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е) принятие решения о комплексном развитии территории.»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</w:rPr>
        <w:t xml:space="preserve">        </w:t>
      </w:r>
      <w:r w:rsidRPr="00D204AA">
        <w:rPr>
          <w:rFonts w:ascii="Times New Roman" w:hAnsi="Times New Roman"/>
          <w:b/>
          <w:sz w:val="28"/>
          <w:szCs w:val="28"/>
        </w:rPr>
        <w:t>1.5.  пункта 8 части 3 статьи 37 дополнить абзацем следующего содержания: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«Для принятия решения о выдаче разрешения на ввод объекта в эксплуатацию необходимо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 1 части 5 статьи 49 настоящего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</w:t>
      </w:r>
      <w:r w:rsidRPr="00D204AA">
        <w:rPr>
          <w:rFonts w:ascii="Times New Roman" w:hAnsi="Times New Roman"/>
          <w:sz w:val="28"/>
          <w:szCs w:val="28"/>
        </w:rPr>
        <w:lastRenderedPageBreak/>
        <w:t>органа исполнительной власти (далее орган федерального государственного экологического надзора), выдаваемое в случаях, предусмотренных частью 7 статьи 54 настоящего Кодекса.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</w:t>
      </w:r>
      <w:r w:rsidRPr="00D20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4AA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D204AA">
        <w:rPr>
          <w:rFonts w:ascii="Times New Roman" w:hAnsi="Times New Roman"/>
          <w:sz w:val="28"/>
          <w:szCs w:val="28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наличии)».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</w:rPr>
        <w:t xml:space="preserve">         </w:t>
      </w:r>
      <w:r w:rsidRPr="00D204AA">
        <w:rPr>
          <w:rFonts w:ascii="Times New Roman" w:hAnsi="Times New Roman"/>
          <w:b/>
          <w:sz w:val="28"/>
        </w:rPr>
        <w:t xml:space="preserve">1.6. дополнить пунктом 10 статьи 37 </w:t>
      </w:r>
      <w:r w:rsidRPr="00D204AA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«10.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r w:rsidRPr="00D204AA">
        <w:rPr>
          <w:rFonts w:ascii="Times New Roman" w:hAnsi="Times New Roman"/>
          <w:sz w:val="28"/>
          <w:szCs w:val="28"/>
        </w:rPr>
        <w:lastRenderedPageBreak/>
        <w:t>машиномест (при наличии) проектной документации и (или) разрешению на строительство».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204AA">
        <w:rPr>
          <w:rFonts w:ascii="Times New Roman" w:eastAsia="Calibri" w:hAnsi="Times New Roman" w:cs="Times New Roman"/>
          <w:sz w:val="28"/>
        </w:rPr>
        <w:t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(с. Чураево ул. Ленина, д.32) и разместить на официальном сайте Администрации муниципального района Мишкинский район Республики Башкортостан https://mishkan.ru в разделе поселения - Чураевский 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>3. Контроль за исполнением настоящего Решения возложить на постоянную по развитию предпринимательства, земельным вопросам, благоустройству и экологии.</w:t>
      </w:r>
    </w:p>
    <w:p w:rsidR="00D204AA" w:rsidRPr="00D204AA" w:rsidRDefault="00D204AA" w:rsidP="00D204AA">
      <w:pPr>
        <w:spacing w:after="0" w:line="240" w:lineRule="auto"/>
        <w:rPr>
          <w:rFonts w:ascii="Times New Roman" w:hAnsi="Times New Roman" w:cs="Times New Roman"/>
        </w:rPr>
      </w:pPr>
    </w:p>
    <w:p w:rsidR="00D204AA" w:rsidRDefault="00D204AA" w:rsidP="00D204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4A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204AA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04AA" w:rsidRPr="00D204AA" w:rsidRDefault="00D204AA" w:rsidP="00D204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4AA">
        <w:rPr>
          <w:rFonts w:ascii="Times New Roman" w:hAnsi="Times New Roman" w:cs="Times New Roman"/>
          <w:sz w:val="28"/>
          <w:szCs w:val="28"/>
        </w:rPr>
        <w:t>Г.А. Саймулукова</w:t>
      </w:r>
    </w:p>
    <w:p w:rsidR="00D204AA" w:rsidRPr="00D204AA" w:rsidRDefault="00D204AA" w:rsidP="00D204AA">
      <w:pPr>
        <w:spacing w:after="0" w:line="240" w:lineRule="auto"/>
        <w:rPr>
          <w:rFonts w:ascii="Times New Roman" w:hAnsi="Times New Roman" w:cs="Times New Roman"/>
        </w:rPr>
      </w:pPr>
    </w:p>
    <w:sectPr w:rsidR="00D204AA" w:rsidRPr="00D204AA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1AF"/>
    <w:rsid w:val="000840AC"/>
    <w:rsid w:val="008611AF"/>
    <w:rsid w:val="00B17579"/>
    <w:rsid w:val="00D10B55"/>
    <w:rsid w:val="00D204AA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3095</Words>
  <Characters>17642</Characters>
  <Application>Microsoft Office Word</Application>
  <DocSecurity>0</DocSecurity>
  <Lines>147</Lines>
  <Paragraphs>41</Paragraphs>
  <ScaleCrop>false</ScaleCrop>
  <Company>Администрация СП Чураевский сельсовет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2021-05-14T08:08:00Z</dcterms:created>
  <dcterms:modified xsi:type="dcterms:W3CDTF">2021-05-17T09:40:00Z</dcterms:modified>
</cp:coreProperties>
</file>