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C" w:rsidRDefault="00B2352C" w:rsidP="00B2352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B2352C" w:rsidRDefault="00B2352C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2352C" w:rsidRDefault="00B2352C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2352C" w:rsidRDefault="00B2352C" w:rsidP="00B235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352C" w:rsidRDefault="00B2352C" w:rsidP="00B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2C" w:rsidRDefault="00B2352C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2019  года № 23</w:t>
      </w:r>
    </w:p>
    <w:p w:rsidR="00E922DE" w:rsidRDefault="00E922DE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О порядке взаимодействия при осуществлении контроля Администрацией сельского поселения Чураевский сельсовет муниципального 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</w:t>
      </w:r>
      <w:proofErr w:type="gramEnd"/>
    </w:p>
    <w:p w:rsidR="00E922DE" w:rsidRDefault="00E922DE" w:rsidP="00E9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№ 1367</w:t>
      </w:r>
    </w:p>
    <w:p w:rsidR="00E922DE" w:rsidRPr="00E922DE" w:rsidRDefault="00E922DE" w:rsidP="00E9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22DE">
          <w:rPr>
            <w:rStyle w:val="a7"/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E922DE">
          <w:rPr>
            <w:rStyle w:val="a7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 декабря 2015 года N 1367, </w:t>
      </w:r>
      <w:hyperlink r:id="rId8" w:history="1">
        <w:r w:rsidRPr="00E922DE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5статьи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99 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Чураевский сельсовет муниципального 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   Башкортостан, утвержденного Решением Совета сельского поселения Чураевский сельсовет муниципального 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  от 18 марта 2011 года № 2, с изменениями от 02 февраля 2012 года № 72, от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16 декабря 2016 года № 98:</w:t>
      </w:r>
    </w:p>
    <w:p w:rsidR="00E922DE" w:rsidRPr="00E922DE" w:rsidRDefault="00E922DE" w:rsidP="00E922DE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E922DE">
        <w:rPr>
          <w:sz w:val="28"/>
          <w:szCs w:val="28"/>
        </w:rPr>
        <w:t xml:space="preserve">Утвердить прилагаемый порядок взаимодействия при осуществлении контроля Администрацией сельского поселения Чураевский сельсовет муниципального района </w:t>
      </w:r>
      <w:proofErr w:type="spellStart"/>
      <w:r w:rsidRPr="00E922DE">
        <w:rPr>
          <w:sz w:val="28"/>
          <w:szCs w:val="28"/>
        </w:rPr>
        <w:t>Мишкинский</w:t>
      </w:r>
      <w:proofErr w:type="spellEnd"/>
      <w:r w:rsidRPr="00E922DE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</w:t>
      </w:r>
      <w:r w:rsidRPr="00E922DE">
        <w:rPr>
          <w:sz w:val="28"/>
          <w:szCs w:val="28"/>
        </w:rPr>
        <w:lastRenderedPageBreak/>
        <w:t>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E922DE">
        <w:rPr>
          <w:sz w:val="28"/>
          <w:szCs w:val="28"/>
        </w:rPr>
        <w:t xml:space="preserve"> № 1367 (далее - Порядок).</w:t>
      </w:r>
    </w:p>
    <w:p w:rsidR="00E922DE" w:rsidRPr="00E922DE" w:rsidRDefault="00E922DE" w:rsidP="00E922DE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22DE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E922DE" w:rsidRPr="00E922DE" w:rsidRDefault="00E922DE" w:rsidP="00E922DE">
      <w:pPr>
        <w:pStyle w:val="a8"/>
        <w:ind w:left="0" w:firstLine="709"/>
        <w:jc w:val="both"/>
        <w:rPr>
          <w:sz w:val="28"/>
          <w:szCs w:val="28"/>
        </w:rPr>
      </w:pPr>
      <w:r w:rsidRPr="00E922DE">
        <w:rPr>
          <w:sz w:val="28"/>
          <w:szCs w:val="28"/>
        </w:rPr>
        <w:t xml:space="preserve"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содержащий сведения, составляющие государственную тайну, об утверждении порядка  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E922DE" w:rsidRDefault="00E922DE" w:rsidP="00E922DE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E922DE">
        <w:rPr>
          <w:sz w:val="28"/>
          <w:szCs w:val="28"/>
        </w:rPr>
        <w:t>Контроль за</w:t>
      </w:r>
      <w:proofErr w:type="gramEnd"/>
      <w:r w:rsidRPr="00E922DE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922DE" w:rsidRDefault="00E922DE" w:rsidP="00E922DE">
      <w:pPr>
        <w:pStyle w:val="a8"/>
        <w:ind w:left="709"/>
        <w:jc w:val="both"/>
        <w:rPr>
          <w:sz w:val="28"/>
          <w:szCs w:val="28"/>
        </w:rPr>
      </w:pPr>
    </w:p>
    <w:p w:rsidR="00E922DE" w:rsidRPr="00E922DE" w:rsidRDefault="00E922DE" w:rsidP="00E922DE">
      <w:pPr>
        <w:pStyle w:val="a8"/>
        <w:ind w:left="709"/>
        <w:jc w:val="both"/>
        <w:rPr>
          <w:sz w:val="28"/>
          <w:szCs w:val="28"/>
        </w:rPr>
      </w:pPr>
    </w:p>
    <w:p w:rsidR="00E922DE" w:rsidRDefault="00E922DE" w:rsidP="00E92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922DE" w:rsidRDefault="00E922DE" w:rsidP="00E92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22DE" w:rsidRPr="00E922DE" w:rsidRDefault="00E922DE" w:rsidP="00E92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В.М.Семенова</w:t>
      </w: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от 20 декабря  2019 г. № 23</w:t>
      </w:r>
    </w:p>
    <w:p w:rsidR="00E922DE" w:rsidRPr="00E922DE" w:rsidRDefault="00E922DE" w:rsidP="00E9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ПОРЯДОК</w:t>
      </w:r>
    </w:p>
    <w:p w:rsidR="00E922DE" w:rsidRPr="00E922DE" w:rsidRDefault="00E922DE" w:rsidP="00E9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</w:t>
      </w:r>
    </w:p>
    <w:p w:rsidR="00E922DE" w:rsidRPr="00E922DE" w:rsidRDefault="00E922DE" w:rsidP="00E9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>АДМИНИСТРАЦИЕЙ СЕЛЬСКОГО ПОСЕЛЕНИЯ ЧУРАЕВСКИЙ 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МУНИЦИПАЛЬНЫХНУЖД", УТВЕРЖДЕННЫХ ПОСТАНОВЛЕНИЕМ ПРАВИТЕЛЬСТВА РОССИЙСКОЙ ФЕДЕРАЦИИ ОТ 12 ДЕКАБРЯ 2015 ГОДА N 1367</w:t>
      </w:r>
      <w:proofErr w:type="gramEnd"/>
    </w:p>
    <w:p w:rsidR="00E922DE" w:rsidRPr="00E922DE" w:rsidRDefault="00E922DE" w:rsidP="00E9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при осуществления контроля Администрацией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Администрация сельского поселения) с субъектами контроля, указанными в </w:t>
      </w:r>
      <w:hyperlink r:id="rId9" w:history="1">
        <w:r w:rsidRPr="00E922D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0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от 12 декабря 2015 года N 1367 (далее - субъекты контроля.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Правила контроля).</w:t>
      </w:r>
      <w:proofErr w:type="gramEnd"/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Администрации сельского поселения  документов, определенных Федеральным </w:t>
      </w:r>
      <w:hyperlink r:id="rId11" w:history="1">
        <w:r w:rsidRPr="00E922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2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(далее соответственно - контроль, объекты контроля, Федеральный закон).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E922DE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Администрацией сельского поселения  в целях контроля информации, определенной </w:t>
      </w:r>
      <w:hyperlink r:id="rId13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 xml:space="preserve">нужд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Администрацией сельского поселения  в соответствии с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922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при согласовании Администрацией сельского поселения  объектов контроля или сведений об объектах контроля, предусмотренных </w:t>
      </w:r>
      <w:hyperlink r:id="rId15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3. При размещении электронного документа Администрацией сельского поселения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 w:rsidRPr="00E922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5. Сведения о закрытых объектах контроля направляются в Администрацию сельского поселения  в следующих формах: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7" w:history="1">
        <w:r w:rsidRPr="00E922D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1" w:history="1">
        <w:r w:rsidRPr="00E922D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E922D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E922DE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 на бумажном носителе в трех экземплярах.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 и возвращает субъекту контроля один экземпляр закрытого объекта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>контроля или сведений о закрытом объекте контроля.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контроля с Администрацией сельского поселения 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 с соблюдением требований законодательства Российской Федерации о защите государственной тайны.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E922DE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Администрация сельского поселения  проверяет в соответствии с </w:t>
      </w:r>
      <w:hyperlink r:id="rId17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подпунктом "а" пункта 13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18" w:history="1">
        <w:r w:rsidRPr="00E922DE">
          <w:rPr>
            <w:rFonts w:ascii="Times New Roman" w:hAnsi="Times New Roman" w:cs="Times New Roman"/>
            <w:sz w:val="28"/>
            <w:szCs w:val="28"/>
          </w:rPr>
          <w:t>пунктом 13(1)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9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0" w:history="1">
        <w:r w:rsidRPr="00E922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(далее - Порядок учета бюджетных обязательств), на учет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бюджетных обязательств;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E922DE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иных документах, установленных Администрацией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21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922DE">
          <w:rPr>
            <w:rFonts w:ascii="Times New Roman" w:hAnsi="Times New Roman" w:cs="Times New Roman"/>
            <w:sz w:val="28"/>
            <w:szCs w:val="28"/>
          </w:rPr>
          <w:t>"в" пункта 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(далее - учреждения), на предмет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E922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24" w:history="1">
        <w:r w:rsidRPr="00E922DE">
          <w:rPr>
            <w:rFonts w:ascii="Times New Roman" w:hAnsi="Times New Roman" w:cs="Times New Roman"/>
            <w:sz w:val="28"/>
            <w:szCs w:val="28"/>
          </w:rPr>
          <w:t>таблице 2.1 пункта 8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- план ФХД);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25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подпункте "г" пункта 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6" w:history="1">
        <w:r w:rsidRPr="00E922D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68" w:history="1">
        <w:r w:rsidRPr="00E922D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E922D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27" w:history="1">
        <w:r w:rsidRPr="00E922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Чураевский  сельсовет муниципального района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E922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E922D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подпунктом "в" пункта 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E922DE">
        <w:rPr>
          <w:rFonts w:ascii="Times New Roman" w:hAnsi="Times New Roman" w:cs="Times New Roman"/>
          <w:sz w:val="28"/>
          <w:szCs w:val="28"/>
        </w:rPr>
        <w:lastRenderedPageBreak/>
        <w:t xml:space="preserve">11. При осуществлении взаимодействия с субъектами контроля Администрация сельского поселения проверяет в соответствии с </w:t>
      </w:r>
      <w:hyperlink r:id="rId30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вплане-графике</w:t>
      </w:r>
      <w:proofErr w:type="spellEnd"/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proofErr w:type="gramStart"/>
      <w:r w:rsidRPr="00E922DE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E922DE">
        <w:rPr>
          <w:rFonts w:ascii="Times New Roman" w:hAnsi="Times New Roman" w:cs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2" w:history="1">
        <w:r w:rsidRPr="00E922DE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осуществляется с учетом следующих особенностей:</w:t>
      </w:r>
      <w:proofErr w:type="gramEnd"/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r:id="rId33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подпунктом "а" пункта 2 части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не осуществляется;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2) в случае, предусмотренном </w:t>
      </w:r>
      <w:hyperlink r:id="rId34" w:history="1">
        <w:r w:rsidRPr="00E922DE">
          <w:rPr>
            <w:rFonts w:ascii="Times New Roman" w:hAnsi="Times New Roman" w:cs="Times New Roman"/>
            <w:sz w:val="28"/>
            <w:szCs w:val="28"/>
          </w:rPr>
          <w:t>пунктом 1 части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осуществляется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12. Указанные в </w:t>
      </w:r>
      <w:hyperlink w:anchor="P84" w:history="1">
        <w:r w:rsidRPr="00E922D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13. Предусмотренное </w:t>
      </w:r>
      <w:hyperlink w:anchor="P84" w:history="1">
        <w:r w:rsidRPr="00E922D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</w:t>
      </w:r>
      <w:hyperlink w:anchor="P87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E922DE">
          <w:rPr>
            <w:rFonts w:ascii="Times New Roman" w:hAnsi="Times New Roman" w:cs="Times New Roman"/>
            <w:sz w:val="28"/>
            <w:szCs w:val="28"/>
          </w:rPr>
          <w:t>"г" пункта 11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5" w:history="1">
        <w:r w:rsidRPr="00E922DE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6" w:history="1">
        <w:r w:rsidRPr="00E922D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>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>отношении закупок, процедуры отбора поставщика (подрядчика, исполнителя) по которым не завершены;</w:t>
      </w:r>
      <w:proofErr w:type="gramEnd"/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7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>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922DE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14. В сроки, установленные </w:t>
      </w:r>
      <w:hyperlink r:id="rId38" w:history="1">
        <w:r w:rsidRPr="00E922D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E922D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0" w:history="1">
        <w:r w:rsidRPr="00E922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1" w:history="1">
        <w:r w:rsidRPr="00E922D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</w:t>
      </w:r>
      <w:proofErr w:type="spellStart"/>
      <w:r w:rsidRPr="00E922DE">
        <w:rPr>
          <w:rFonts w:ascii="Times New Roman" w:hAnsi="Times New Roman" w:cs="Times New Roman"/>
          <w:sz w:val="28"/>
          <w:szCs w:val="28"/>
        </w:rPr>
        <w:t>внебюджетнымифондами</w:t>
      </w:r>
      <w:proofErr w:type="spellEnd"/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42" w:history="1">
        <w:r w:rsidRPr="00E922DE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E922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Администрацией сельского поселения проверки несоответствия объекта контроля  (закрытого объекта контроля, сведений о закрытом объекте контроля) требованиям, установленным </w:t>
      </w:r>
      <w:hyperlink r:id="rId44" w:history="1">
        <w:r w:rsidRPr="00E922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E922DE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 требованиям, установленным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E922D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</w:t>
      </w:r>
      <w:r w:rsidRPr="00E922D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проставляет на сведениях о приглашении, сведениях о проекте контракта </w:t>
      </w:r>
      <w:proofErr w:type="gramStart"/>
      <w:r w:rsidRPr="00E922DE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DE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E922DE">
        <w:rPr>
          <w:rFonts w:ascii="Times New Roman" w:hAnsi="Times New Roman" w:cs="Times New Roman"/>
          <w:sz w:val="28"/>
          <w:szCs w:val="28"/>
        </w:rPr>
        <w:t xml:space="preserve"> проверки, предусмотренной </w:t>
      </w:r>
      <w:hyperlink w:anchor="P74" w:history="1">
        <w:r w:rsidRPr="00E922D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E922DE">
          <w:rPr>
            <w:rFonts w:ascii="Times New Roman" w:hAnsi="Times New Roman" w:cs="Times New Roman"/>
            <w:sz w:val="28"/>
            <w:szCs w:val="28"/>
          </w:rPr>
          <w:t>"в" пункта 9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DE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E922D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922DE">
        <w:rPr>
          <w:rFonts w:ascii="Times New Roman" w:hAnsi="Times New Roman" w:cs="Times New Roman"/>
          <w:sz w:val="28"/>
          <w:szCs w:val="28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Default="00E922DE" w:rsidP="00E9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DE" w:rsidRPr="00CF68A7" w:rsidRDefault="00E922DE" w:rsidP="00E922DE">
      <w:pPr>
        <w:pStyle w:val="ConsPlusNormal"/>
        <w:ind w:firstLine="540"/>
        <w:jc w:val="both"/>
        <w:rPr>
          <w:rStyle w:val="FontStyle38"/>
          <w:sz w:val="28"/>
          <w:szCs w:val="28"/>
        </w:rPr>
      </w:pPr>
    </w:p>
    <w:p w:rsidR="00E922DE" w:rsidRPr="00C1286C" w:rsidRDefault="00E922DE" w:rsidP="00E922DE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1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194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bookmarkStart w:id="8" w:name="P147"/>
      <w:bookmarkEnd w:id="8"/>
      <w:r w:rsidRPr="00C1286C">
        <w:rPr>
          <w:rFonts w:ascii="Courier New" w:hAnsi="Courier New" w:cs="Courier New"/>
        </w:rPr>
        <w:t>Сведения о приглашении принять участие в определении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поставщика (подрядчика, исполнителя) N ________________ </w:t>
      </w:r>
      <w:hyperlink w:anchor="P195" w:history="1">
        <w:r w:rsidRPr="00C1286C">
          <w:rPr>
            <w:rFonts w:ascii="Courier New" w:hAnsi="Courier New" w:cs="Courier New"/>
          </w:rPr>
          <w:t>&lt;**&gt;</w:t>
        </w:r>
      </w:hyperlink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</w:t>
      </w:r>
      <w:proofErr w:type="spellStart"/>
      <w:r w:rsidRPr="00C1286C">
        <w:rPr>
          <w:sz w:val="16"/>
        </w:rPr>
        <w:t>Дата│</w:t>
      </w:r>
      <w:proofErr w:type="spellEnd"/>
      <w:r w:rsidRPr="00C1286C">
        <w:rPr>
          <w:sz w:val="16"/>
        </w:rPr>
        <w:t xml:space="preserve">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46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47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48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49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Телефон                         _________________________________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Вид документа                   _________________________________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0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E922DE" w:rsidRPr="00C1286C" w:rsidTr="00CC318C">
        <w:tc>
          <w:tcPr>
            <w:tcW w:w="4139" w:type="dxa"/>
            <w:tcBorders>
              <w:lef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196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E922DE" w:rsidRPr="00C1286C" w:rsidTr="00CC318C">
        <w:tc>
          <w:tcPr>
            <w:tcW w:w="4139" w:type="dxa"/>
            <w:tcBorders>
              <w:lef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E922DE" w:rsidRPr="00C1286C" w:rsidRDefault="00E922DE" w:rsidP="00E922DE">
      <w:pPr>
        <w:pStyle w:val="ConsPlusNormal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</w:t>
      </w:r>
      <w:proofErr w:type="spellStart"/>
      <w:r w:rsidRPr="00C1286C">
        <w:rPr>
          <w:sz w:val="16"/>
        </w:rPr>
        <w:t>│Всего</w:t>
      </w:r>
      <w:proofErr w:type="spellEnd"/>
      <w:r w:rsidRPr="00C1286C">
        <w:rPr>
          <w:sz w:val="16"/>
        </w:rPr>
        <w:t xml:space="preserve"> </w:t>
      </w:r>
      <w:proofErr w:type="spellStart"/>
      <w:r w:rsidRPr="00C1286C">
        <w:rPr>
          <w:sz w:val="16"/>
        </w:rPr>
        <w:t>листов│</w:t>
      </w:r>
      <w:proofErr w:type="spellEnd"/>
      <w:r w:rsidRPr="00C1286C">
        <w:rPr>
          <w:sz w:val="16"/>
        </w:rPr>
        <w:t xml:space="preserve">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--------------------------------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9" w:name="P194"/>
      <w:bookmarkEnd w:id="9"/>
      <w:r w:rsidRPr="00C1286C">
        <w:rPr>
          <w:rFonts w:ascii="Courier New" w:hAnsi="Courier New" w:cs="Courier New"/>
        </w:rPr>
        <w:t>&lt;*&gt; Заполняется при наличии.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0" w:name="P195"/>
      <w:bookmarkEnd w:id="10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1" w:name="P196"/>
      <w:bookmarkEnd w:id="11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Администрации сельского поселения 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1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</w:t>
      </w:r>
      <w:proofErr w:type="spellStart"/>
      <w:r w:rsidRPr="00C1286C">
        <w:rPr>
          <w:sz w:val="16"/>
        </w:rPr>
        <w:t>│</w:t>
      </w:r>
      <w:proofErr w:type="spellEnd"/>
      <w:r w:rsidRPr="00C1286C">
        <w:rPr>
          <w:sz w:val="16"/>
        </w:rPr>
        <w:t xml:space="preserve">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922DE" w:rsidRPr="00C1286C" w:rsidRDefault="00E922DE" w:rsidP="00E922DE">
      <w:pPr>
        <w:pStyle w:val="ConsPlusNonformat"/>
        <w:jc w:val="both"/>
      </w:pPr>
      <w:proofErr w:type="gramStart"/>
      <w:r w:rsidRPr="00C1286C">
        <w:rPr>
          <w:sz w:val="16"/>
        </w:rPr>
        <w:t>(соответствует/</w:t>
      </w:r>
      <w:proofErr w:type="gram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"___" ___________________ 20____ г.</w:t>
      </w:r>
    </w:p>
    <w:p w:rsidR="00E922DE" w:rsidRPr="00371C76" w:rsidRDefault="00E922DE" w:rsidP="00E922DE">
      <w:pPr>
        <w:pStyle w:val="ConsPlusNormal"/>
        <w:ind w:firstLine="540"/>
        <w:jc w:val="both"/>
      </w:pPr>
    </w:p>
    <w:p w:rsidR="00E922DE" w:rsidRDefault="00E922DE" w:rsidP="00E922DE">
      <w:pPr>
        <w:pStyle w:val="ConsPlusNormal"/>
        <w:jc w:val="right"/>
        <w:rPr>
          <w:rFonts w:ascii="Times New Roman" w:hAnsi="Times New Roman" w:cs="Times New Roman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sz w:val="28"/>
        </w:rPr>
      </w:pPr>
    </w:p>
    <w:p w:rsidR="00E922DE" w:rsidRPr="00C1286C" w:rsidRDefault="00E922DE" w:rsidP="00E922DE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2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E922DE" w:rsidRPr="00C1286C" w:rsidRDefault="00E922DE" w:rsidP="00E922DE">
      <w:pPr>
        <w:pStyle w:val="ConsPlusNormal"/>
        <w:jc w:val="right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297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bookmarkStart w:id="12" w:name="P251"/>
      <w:bookmarkEnd w:id="12"/>
      <w:r w:rsidRPr="00C1286C">
        <w:rPr>
          <w:rFonts w:ascii="Courier New" w:hAnsi="Courier New" w:cs="Courier New"/>
        </w:rPr>
        <w:t xml:space="preserve">Сведения о </w:t>
      </w:r>
      <w:proofErr w:type="gramStart"/>
      <w:r w:rsidRPr="00C1286C">
        <w:rPr>
          <w:rFonts w:ascii="Courier New" w:hAnsi="Courier New" w:cs="Courier New"/>
        </w:rPr>
        <w:t>документации</w:t>
      </w:r>
      <w:proofErr w:type="gramEnd"/>
      <w:r w:rsidRPr="00C1286C">
        <w:rPr>
          <w:rFonts w:ascii="Courier New" w:hAnsi="Courier New" w:cs="Courier New"/>
        </w:rPr>
        <w:t xml:space="preserve"> о закупке N __________________ </w:t>
      </w:r>
      <w:hyperlink w:anchor="P298" w:history="1">
        <w:r w:rsidRPr="00C1286C">
          <w:rPr>
            <w:rFonts w:ascii="Courier New" w:hAnsi="Courier New" w:cs="Courier New"/>
          </w:rPr>
          <w:t>&lt;**&gt;</w:t>
        </w:r>
      </w:hyperlink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</w:t>
      </w:r>
      <w:proofErr w:type="spellStart"/>
      <w:r w:rsidRPr="00C1286C">
        <w:rPr>
          <w:sz w:val="16"/>
        </w:rPr>
        <w:t>Дата│</w:t>
      </w:r>
      <w:proofErr w:type="spellEnd"/>
      <w:r w:rsidRPr="00C1286C">
        <w:rPr>
          <w:sz w:val="16"/>
        </w:rPr>
        <w:t xml:space="preserve">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52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53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4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5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Телефон                         _________________________________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6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E922DE" w:rsidRPr="00C1286C" w:rsidTr="00CC318C">
        <w:tc>
          <w:tcPr>
            <w:tcW w:w="4139" w:type="dxa"/>
            <w:tcBorders>
              <w:lef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299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E922DE" w:rsidRPr="00C1286C" w:rsidTr="00CC318C">
        <w:tc>
          <w:tcPr>
            <w:tcW w:w="4139" w:type="dxa"/>
            <w:tcBorders>
              <w:lef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E922DE" w:rsidRPr="00C1286C" w:rsidRDefault="00E922DE" w:rsidP="00E922D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E922DE" w:rsidRPr="00C1286C" w:rsidRDefault="00E922DE" w:rsidP="00E922DE">
      <w:pPr>
        <w:pStyle w:val="ConsPlusNormal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</w:t>
      </w:r>
      <w:proofErr w:type="spellStart"/>
      <w:r w:rsidRPr="00C1286C">
        <w:rPr>
          <w:sz w:val="16"/>
        </w:rPr>
        <w:t>│Всего</w:t>
      </w:r>
      <w:proofErr w:type="spellEnd"/>
      <w:r w:rsidRPr="00C1286C">
        <w:rPr>
          <w:sz w:val="16"/>
        </w:rPr>
        <w:t xml:space="preserve"> </w:t>
      </w:r>
      <w:proofErr w:type="spellStart"/>
      <w:r w:rsidRPr="00C1286C">
        <w:rPr>
          <w:sz w:val="16"/>
        </w:rPr>
        <w:t>листов│</w:t>
      </w:r>
      <w:proofErr w:type="spellEnd"/>
      <w:r w:rsidRPr="00C1286C">
        <w:rPr>
          <w:sz w:val="16"/>
        </w:rPr>
        <w:t xml:space="preserve">   │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3" w:name="P297"/>
      <w:bookmarkEnd w:id="13"/>
      <w:r w:rsidRPr="00C1286C">
        <w:rPr>
          <w:rFonts w:ascii="Courier New" w:hAnsi="Courier New" w:cs="Courier New"/>
        </w:rPr>
        <w:lastRenderedPageBreak/>
        <w:t>&lt;*&gt; Заполняется при наличии.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4" w:name="P298"/>
      <w:bookmarkEnd w:id="14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5" w:name="P299"/>
      <w:bookmarkEnd w:id="15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E922DE" w:rsidRPr="00C1286C" w:rsidRDefault="00E922DE" w:rsidP="00E922D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 Администрации сельского поселения  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7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E922DE" w:rsidRPr="00C1286C" w:rsidRDefault="00E922DE" w:rsidP="00E922DE">
      <w:pPr>
        <w:pStyle w:val="ConsPlusNormal"/>
        <w:jc w:val="center"/>
        <w:rPr>
          <w:rFonts w:ascii="Courier New" w:hAnsi="Courier New" w:cs="Courier New"/>
        </w:rPr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</w:t>
      </w:r>
      <w:proofErr w:type="spellStart"/>
      <w:r w:rsidRPr="00C1286C">
        <w:rPr>
          <w:sz w:val="16"/>
        </w:rPr>
        <w:t>│</w:t>
      </w:r>
      <w:proofErr w:type="spellEnd"/>
      <w:r w:rsidRPr="00C1286C">
        <w:rPr>
          <w:sz w:val="16"/>
        </w:rPr>
        <w:t xml:space="preserve">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</w:t>
      </w:r>
      <w:proofErr w:type="spellStart"/>
      <w:r w:rsidRPr="00C1286C">
        <w:rPr>
          <w:sz w:val="16"/>
        </w:rPr>
        <w:t>│</w:t>
      </w:r>
      <w:proofErr w:type="spell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922DE" w:rsidRPr="00C1286C" w:rsidRDefault="00E922DE" w:rsidP="00E922DE">
      <w:pPr>
        <w:pStyle w:val="ConsPlusNonformat"/>
        <w:jc w:val="both"/>
      </w:pPr>
      <w:proofErr w:type="gramStart"/>
      <w:r w:rsidRPr="00C1286C">
        <w:rPr>
          <w:sz w:val="16"/>
        </w:rPr>
        <w:t>(соответствует/</w:t>
      </w:r>
      <w:proofErr w:type="gramEnd"/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E922DE" w:rsidRPr="00C1286C" w:rsidRDefault="00E922DE" w:rsidP="00E922DE">
      <w:pPr>
        <w:pStyle w:val="ConsPlusNonformat"/>
        <w:jc w:val="both"/>
      </w:pPr>
    </w:p>
    <w:p w:rsidR="00E922DE" w:rsidRPr="00C1286C" w:rsidRDefault="00E922DE" w:rsidP="00E922DE">
      <w:pPr>
        <w:pStyle w:val="ConsPlusNonformat"/>
        <w:jc w:val="both"/>
      </w:pPr>
      <w:r w:rsidRPr="00C1286C">
        <w:rPr>
          <w:sz w:val="16"/>
        </w:rPr>
        <w:t>"___" ___________________ 20____ г.</w:t>
      </w:r>
    </w:p>
    <w:p w:rsidR="00E922DE" w:rsidRPr="00C1286C" w:rsidRDefault="00E922DE" w:rsidP="00E922DE">
      <w:pPr>
        <w:pStyle w:val="ConsPlusNormal"/>
        <w:rPr>
          <w:rFonts w:ascii="Courier New" w:hAnsi="Courier New" w:cs="Courier New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lastRenderedPageBreak/>
        <w:t>Приложение N 4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Cs w:val="20"/>
        </w:rPr>
        <w:t>взаимодействии</w:t>
      </w:r>
      <w:proofErr w:type="gram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при осуществлении контроля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Администрацией сельского поселения 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с субъектами контроля, указанными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в пункте 4 Правил осуществления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контроля, предусмотренного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частью 5 статьи 99 Федерального закона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"О контрактной системе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в сфере закупок товаров, работ,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услуг для обеспечения государственных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и муниципальных нужд", утвержденных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Постановлением Правительства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Российской Федерации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от 12 декабря 2015 г. N 1367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46" w:history="1">
        <w:r w:rsidRPr="00C1286C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bookmarkStart w:id="16" w:name="P380"/>
      <w:bookmarkEnd w:id="16"/>
      <w:r w:rsidRPr="00C1286C">
        <w:rPr>
          <w:rFonts w:ascii="Courier New" w:hAnsi="Courier New" w:cs="Courier New"/>
          <w:szCs w:val="20"/>
        </w:rPr>
        <w:t>Сведения о проекте контракта, направляемого участнику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закупки (контракта, возвращаемого участником закупки)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N __________________ </w:t>
      </w:r>
      <w:hyperlink w:anchor="P447" w:history="1">
        <w:r w:rsidRPr="00C1286C">
          <w:rPr>
            <w:rFonts w:ascii="Courier New" w:hAnsi="Courier New" w:cs="Courier New"/>
            <w:szCs w:val="20"/>
          </w:rPr>
          <w:t>&lt;**&gt;</w:t>
        </w:r>
      </w:hyperlink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8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9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0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61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2" w:history="1">
        <w:r w:rsidRPr="00C1286C">
          <w:rPr>
            <w:rFonts w:ascii="Courier New" w:hAnsi="Courier New" w:cs="Courier New"/>
            <w:sz w:val="16"/>
            <w:szCs w:val="20"/>
          </w:rPr>
          <w:t>383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spacing w:after="0" w:line="240" w:lineRule="auto"/>
        <w:rPr>
          <w:rFonts w:ascii="Courier New" w:hAnsi="Courier New" w:cs="Courier New"/>
        </w:rPr>
        <w:sectPr w:rsidR="00E922DE" w:rsidRPr="00C1286C" w:rsidSect="00CF68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2665"/>
        <w:gridCol w:w="2322"/>
        <w:gridCol w:w="3345"/>
        <w:gridCol w:w="2438"/>
      </w:tblGrid>
      <w:tr w:rsidR="00E922DE" w:rsidRPr="00C1286C" w:rsidTr="00CC318C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 xml:space="preserve">Цена контракта </w:t>
            </w:r>
            <w:hyperlink w:anchor="P448" w:history="1">
              <w:r w:rsidRPr="00C1286C">
                <w:rPr>
                  <w:rFonts w:ascii="Courier New" w:hAnsi="Courier New" w:cs="Courier New"/>
                  <w:szCs w:val="20"/>
                </w:rPr>
                <w:t>&lt;***&gt;</w:t>
              </w:r>
            </w:hyperlink>
          </w:p>
        </w:tc>
      </w:tr>
      <w:tr w:rsidR="00E922DE" w:rsidRPr="00C1286C" w:rsidTr="00CC318C">
        <w:tc>
          <w:tcPr>
            <w:tcW w:w="2778" w:type="dxa"/>
            <w:vMerge/>
            <w:tcBorders>
              <w:lef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proofErr w:type="gramStart"/>
            <w:r w:rsidRPr="00C1286C">
              <w:rPr>
                <w:rFonts w:ascii="Courier New" w:hAnsi="Courier New" w:cs="Courier New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righ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22DE" w:rsidRPr="00C1286C" w:rsidTr="00CC318C">
        <w:tc>
          <w:tcPr>
            <w:tcW w:w="2778" w:type="dxa"/>
            <w:tcBorders>
              <w:lef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5</w:t>
            </w: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E922DE" w:rsidRPr="00C1286C" w:rsidRDefault="00E922DE" w:rsidP="00E922DE">
      <w:pPr>
        <w:spacing w:after="0" w:line="240" w:lineRule="auto"/>
        <w:rPr>
          <w:rFonts w:ascii="Courier New" w:hAnsi="Courier New" w:cs="Courier New"/>
        </w:rPr>
        <w:sectPr w:rsidR="00E922DE" w:rsidRPr="00C128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в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┌────────────┐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с </w:t>
      </w:r>
      <w:hyperlink r:id="rId63" w:history="1">
        <w:r w:rsidRPr="00C1286C">
          <w:rPr>
            <w:rFonts w:ascii="Courier New" w:hAnsi="Courier New" w:cs="Courier New"/>
            <w:sz w:val="16"/>
            <w:szCs w:val="20"/>
          </w:rPr>
          <w:t>частью 18 статьи 34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N  44-ФЗ  "О  контрактной системе в сфере закупок товаров, робот, услуг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для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│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--------------------------------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bookmarkStart w:id="17" w:name="P446"/>
      <w:bookmarkEnd w:id="17"/>
      <w:r w:rsidRPr="00C1286C">
        <w:rPr>
          <w:rFonts w:ascii="Courier New" w:hAnsi="Courier New" w:cs="Courier New"/>
          <w:szCs w:val="20"/>
        </w:rPr>
        <w:t>&lt;*&gt; Заполняется при наличии.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bookmarkStart w:id="18" w:name="P447"/>
      <w:bookmarkEnd w:id="18"/>
      <w:r w:rsidRPr="00C1286C">
        <w:rPr>
          <w:rFonts w:ascii="Courier New" w:hAnsi="Courier New" w:cs="Courier New"/>
          <w:szCs w:val="20"/>
        </w:rPr>
        <w:t>&lt;**&gt; Указывается исходящий номер.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bookmarkStart w:id="19" w:name="P448"/>
      <w:bookmarkEnd w:id="19"/>
      <w:r w:rsidRPr="00C1286C">
        <w:rPr>
          <w:rFonts w:ascii="Courier New" w:hAnsi="Courier New" w:cs="Courier New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Отметка Администрации сельского поселения  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о соответствии контролируемой информации требованиям,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proofErr w:type="gramStart"/>
      <w:r w:rsidRPr="00C1286C">
        <w:rPr>
          <w:rFonts w:ascii="Courier New" w:hAnsi="Courier New" w:cs="Courier New"/>
          <w:szCs w:val="20"/>
        </w:rPr>
        <w:t xml:space="preserve">установленным </w:t>
      </w:r>
      <w:hyperlink r:id="rId64" w:history="1">
        <w:r w:rsidRPr="00C1286C">
          <w:rPr>
            <w:rFonts w:ascii="Courier New" w:hAnsi="Courier New" w:cs="Courier New"/>
            <w:szCs w:val="20"/>
          </w:rPr>
          <w:t>частью 5 статьи 99</w:t>
        </w:r>
      </w:hyperlink>
      <w:r w:rsidRPr="00C1286C">
        <w:rPr>
          <w:rFonts w:ascii="Courier New" w:hAnsi="Courier New" w:cs="Courier New"/>
          <w:szCs w:val="20"/>
        </w:rPr>
        <w:t xml:space="preserve"> Федерального закона</w:t>
      </w:r>
      <w:proofErr w:type="gram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от 5 апреля 2013 года N 44-ФЗ "О контрактной системе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в сфере закупок товаров, работ, услуг для обеспечения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государственных и муниципальных нужд"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Cs w:val="20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Default="00E922DE" w:rsidP="00E922DE">
      <w:pPr>
        <w:spacing w:after="0" w:line="240" w:lineRule="auto"/>
        <w:jc w:val="both"/>
        <w:rPr>
          <w:rFonts w:ascii="Courier New" w:hAnsi="Courier New" w:cs="Courier New"/>
          <w:sz w:val="28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lastRenderedPageBreak/>
        <w:t>Приложение N 5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Cs w:val="20"/>
        </w:rPr>
        <w:t>взаимодействии</w:t>
      </w:r>
      <w:proofErr w:type="gram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при осуществлении контроля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Администрацией сельского поселения 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с субъектами контроля, указанными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в пункте 4 Правил осуществления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контроля, предусмотренного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частью 5 статьи 99 Федерального закона</w:t>
      </w:r>
    </w:p>
    <w:p w:rsidR="00E922D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"О контрактной системе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в сфере закупок товаров, работ,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услуг для обеспечения государственных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и муниципальных нужд", утвержденных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Постановлением Правительства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Российской Федерации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от 12 декабря 2015 г. N 1367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bookmarkStart w:id="20" w:name="P499"/>
      <w:bookmarkEnd w:id="20"/>
      <w:r w:rsidRPr="00C1286C">
        <w:rPr>
          <w:rFonts w:ascii="Courier New" w:hAnsi="Courier New" w:cs="Courier New"/>
          <w:szCs w:val="20"/>
        </w:rPr>
        <w:t>Сведения об объемах средств, указанных в правовых актах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proofErr w:type="gramStart"/>
      <w:r w:rsidRPr="00C1286C">
        <w:rPr>
          <w:rFonts w:ascii="Courier New" w:hAnsi="Courier New" w:cs="Courier New"/>
          <w:szCs w:val="20"/>
        </w:rPr>
        <w:t>(проектах таких актов, размещенных в установленном порядке</w:t>
      </w:r>
      <w:proofErr w:type="gram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в целях общественного обсуждения) Администрации сельского поселения </w:t>
      </w:r>
      <w:r>
        <w:rPr>
          <w:rFonts w:ascii="Courier New" w:hAnsi="Courier New" w:cs="Courier New"/>
          <w:szCs w:val="20"/>
        </w:rPr>
        <w:t>Чураевский</w:t>
      </w:r>
      <w:r w:rsidRPr="00C1286C">
        <w:rPr>
          <w:rFonts w:ascii="Courier New" w:hAnsi="Courier New" w:cs="Courier New"/>
          <w:szCs w:val="20"/>
        </w:rPr>
        <w:t xml:space="preserve">  сельсовет муниципального района </w:t>
      </w:r>
      <w:proofErr w:type="spellStart"/>
      <w:r>
        <w:rPr>
          <w:rFonts w:ascii="Courier New" w:hAnsi="Courier New" w:cs="Courier New"/>
          <w:szCs w:val="20"/>
        </w:rPr>
        <w:t>Мишкинский</w:t>
      </w:r>
      <w:proofErr w:type="spellEnd"/>
      <w:r w:rsidRPr="00C1286C">
        <w:rPr>
          <w:rFonts w:ascii="Courier New" w:hAnsi="Courier New" w:cs="Courier New"/>
          <w:szCs w:val="20"/>
        </w:rPr>
        <w:t xml:space="preserve"> район Республики Башкортостан и иных документах, установленных Администрацией сельского поселения </w:t>
      </w:r>
      <w:r>
        <w:rPr>
          <w:rFonts w:ascii="Courier New" w:hAnsi="Courier New" w:cs="Courier New"/>
          <w:szCs w:val="20"/>
        </w:rPr>
        <w:t>Чураевский</w:t>
      </w:r>
      <w:r w:rsidRPr="00C1286C">
        <w:rPr>
          <w:rFonts w:ascii="Courier New" w:hAnsi="Courier New" w:cs="Courier New"/>
          <w:szCs w:val="20"/>
        </w:rPr>
        <w:t xml:space="preserve">  сельсовет муниципального района </w:t>
      </w:r>
      <w:proofErr w:type="spellStart"/>
      <w:r>
        <w:rPr>
          <w:rFonts w:ascii="Courier New" w:hAnsi="Courier New" w:cs="Courier New"/>
          <w:szCs w:val="20"/>
        </w:rPr>
        <w:t>Мишкинский</w:t>
      </w:r>
      <w:proofErr w:type="spellEnd"/>
      <w:r w:rsidRPr="00C1286C">
        <w:rPr>
          <w:rFonts w:ascii="Courier New" w:hAnsi="Courier New" w:cs="Courier New"/>
          <w:szCs w:val="20"/>
        </w:rPr>
        <w:t xml:space="preserve"> район Республики Башкортостан, предусматривающих</w:t>
      </w:r>
      <w:r>
        <w:rPr>
          <w:rFonts w:ascii="Courier New" w:hAnsi="Courier New" w:cs="Courier New"/>
          <w:szCs w:val="20"/>
        </w:rPr>
        <w:t xml:space="preserve"> </w:t>
      </w:r>
      <w:r w:rsidRPr="00C1286C">
        <w:rPr>
          <w:rFonts w:ascii="Courier New" w:hAnsi="Courier New" w:cs="Courier New"/>
          <w:szCs w:val="20"/>
        </w:rPr>
        <w:t>в соответствии с бюджетным законодательством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Российской Федерации возможность заключения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государственного контракта на срок, превышающий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срок действия доведенных лимитов бюджетных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 xml:space="preserve">обязательств на 20___ год и </w:t>
      </w:r>
      <w:proofErr w:type="gramStart"/>
      <w:r w:rsidRPr="00C1286C">
        <w:rPr>
          <w:rFonts w:ascii="Courier New" w:hAnsi="Courier New" w:cs="Courier New"/>
          <w:szCs w:val="20"/>
        </w:rPr>
        <w:t>на</w:t>
      </w:r>
      <w:proofErr w:type="gramEnd"/>
      <w:r w:rsidRPr="00C1286C">
        <w:rPr>
          <w:rFonts w:ascii="Courier New" w:hAnsi="Courier New" w:cs="Courier New"/>
          <w:szCs w:val="20"/>
        </w:rPr>
        <w:t xml:space="preserve"> плановый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C1286C">
        <w:rPr>
          <w:rFonts w:ascii="Courier New" w:hAnsi="Courier New" w:cs="Courier New"/>
          <w:szCs w:val="20"/>
        </w:rPr>
        <w:t>период 20___ и 20___ годов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5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6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7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68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9" w:history="1">
        <w:r w:rsidRPr="00C1286C">
          <w:rPr>
            <w:rFonts w:ascii="Courier New" w:hAnsi="Courier New" w:cs="Courier New"/>
            <w:sz w:val="16"/>
            <w:szCs w:val="20"/>
          </w:rPr>
          <w:t>384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spacing w:after="0" w:line="240" w:lineRule="auto"/>
        <w:rPr>
          <w:rFonts w:ascii="Courier New" w:hAnsi="Courier New" w:cs="Courier New"/>
        </w:rPr>
        <w:sectPr w:rsidR="00E922DE" w:rsidRPr="00C128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E922DE" w:rsidRPr="00C1286C" w:rsidTr="00CC318C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C1286C"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 w:rsidRPr="00C1286C"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 w:rsidRPr="00C1286C">
              <w:rPr>
                <w:rFonts w:ascii="Courier New" w:hAnsi="Courier New" w:cs="Courier New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E922DE" w:rsidRPr="00C1286C" w:rsidTr="00CC318C">
        <w:tc>
          <w:tcPr>
            <w:tcW w:w="724" w:type="dxa"/>
            <w:vMerge/>
            <w:tcBorders>
              <w:lef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на последующие годы</w:t>
            </w:r>
          </w:p>
        </w:tc>
      </w:tr>
      <w:tr w:rsidR="00E922DE" w:rsidRPr="00C1286C" w:rsidTr="00CC318C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22DE" w:rsidRPr="00C1286C" w:rsidTr="00CC318C">
        <w:tc>
          <w:tcPr>
            <w:tcW w:w="724" w:type="dxa"/>
            <w:vMerge/>
            <w:tcBorders>
              <w:lef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22DE" w:rsidRPr="00C1286C" w:rsidTr="00CC318C">
        <w:tc>
          <w:tcPr>
            <w:tcW w:w="724" w:type="dxa"/>
            <w:tcBorders>
              <w:lef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11</w:t>
            </w: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E922DE" w:rsidRPr="00C1286C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vMerge/>
          </w:tcPr>
          <w:p w:rsidR="00E922DE" w:rsidRPr="00C1286C" w:rsidRDefault="00E922DE" w:rsidP="00E922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E922DE" w:rsidRPr="00C1286C" w:rsidTr="00CC318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E922DE" w:rsidRPr="00C1286C" w:rsidTr="00CC318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DE" w:rsidRPr="00C1286C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"___" ___________________ 20____ г.                                    ┌────────────┬───┐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E922DE" w:rsidRPr="00C1286C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C1286C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C1286C">
        <w:rPr>
          <w:rFonts w:ascii="Courier New" w:hAnsi="Courier New" w:cs="Courier New"/>
          <w:sz w:val="16"/>
          <w:szCs w:val="20"/>
        </w:rPr>
        <w:t xml:space="preserve">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383"/>
      </w:tblGrid>
      <w:tr w:rsidR="00E922DE" w:rsidRPr="002E2E4E" w:rsidTr="00CC318C">
        <w:tc>
          <w:tcPr>
            <w:tcW w:w="1245" w:type="dxa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dxa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22DE" w:rsidRDefault="00E922DE" w:rsidP="00E922DE">
      <w:pPr>
        <w:widowControl w:val="0"/>
        <w:autoSpaceDE w:val="0"/>
        <w:autoSpaceDN w:val="0"/>
        <w:spacing w:after="0" w:line="240" w:lineRule="auto"/>
        <w:outlineLvl w:val="1"/>
        <w:rPr>
          <w:rFonts w:ascii="Courier New" w:hAnsi="Courier New" w:cs="Courier New"/>
          <w:szCs w:val="20"/>
        </w:rPr>
      </w:pPr>
      <w:bookmarkStart w:id="21" w:name="_GoBack"/>
      <w:bookmarkEnd w:id="21"/>
      <w:r>
        <w:rPr>
          <w:rFonts w:ascii="Courier New" w:hAnsi="Courier New" w:cs="Courier New"/>
          <w:szCs w:val="20"/>
        </w:rPr>
        <w:t xml:space="preserve">                                                                                                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outlineLvl w:val="1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lastRenderedPageBreak/>
        <w:t xml:space="preserve">                                                                                                </w:t>
      </w:r>
      <w:r w:rsidRPr="002E2E4E">
        <w:rPr>
          <w:rFonts w:ascii="Courier New" w:hAnsi="Courier New" w:cs="Courier New"/>
          <w:szCs w:val="20"/>
        </w:rPr>
        <w:t>Приложение N 6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 xml:space="preserve">к Порядку </w:t>
      </w:r>
      <w:proofErr w:type="gramStart"/>
      <w:r w:rsidRPr="002E2E4E">
        <w:rPr>
          <w:rFonts w:ascii="Courier New" w:hAnsi="Courier New" w:cs="Courier New"/>
          <w:szCs w:val="20"/>
        </w:rPr>
        <w:t>взаимодействии</w:t>
      </w:r>
      <w:proofErr w:type="gram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при осуществлении контроля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 xml:space="preserve">Администрацией сельского поселения 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с субъектами контроля, указанными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в пункте 4 Правил осуществления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контроля, предусмотренного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частью 5 статьи 99 Федерального закона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"О контрактной системе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в сфере закупок товаров, работ,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услуг для обеспечения государственных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и муниципальных нужд", утвержденных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Постановлением Правительства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Российской Федерации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от 12 декабря 2015 г. N 1367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706" w:history="1">
        <w:r w:rsidRPr="002E2E4E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2E2E4E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CF68A7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bookmarkStart w:id="22" w:name="P639"/>
      <w:bookmarkEnd w:id="22"/>
      <w:r w:rsidRPr="002E2E4E">
        <w:rPr>
          <w:rFonts w:ascii="Courier New" w:hAnsi="Courier New" w:cs="Courier New"/>
          <w:szCs w:val="20"/>
        </w:rPr>
        <w:t>Протокол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о несоответствии контролируемой информации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 xml:space="preserve">требованиям, установленным частью 5 статьи 99 </w:t>
      </w:r>
      <w:proofErr w:type="gramStart"/>
      <w:r w:rsidRPr="002E2E4E">
        <w:rPr>
          <w:rFonts w:ascii="Courier New" w:hAnsi="Courier New" w:cs="Courier New"/>
          <w:szCs w:val="20"/>
        </w:rPr>
        <w:t>Федерального</w:t>
      </w:r>
      <w:proofErr w:type="gram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закона от 5 апреля 2013 года N 44-ФЗ "О контрактной системе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в сфере закупок товаров, работ, услуг для обеспечения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государственных и муниципальных нужд"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N 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2E2E4E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органа контроля         ФУ Администрации МР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16"/>
          <w:szCs w:val="20"/>
        </w:rPr>
        <w:t>Мишкинский</w:t>
      </w:r>
      <w:proofErr w:type="spellEnd"/>
      <w:r w:rsidRPr="002E2E4E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районРБ</w:t>
      </w:r>
      <w:proofErr w:type="spellEnd"/>
      <w:r w:rsidRPr="002E2E4E">
        <w:rPr>
          <w:rFonts w:ascii="Courier New" w:hAnsi="Courier New" w:cs="Courier New"/>
          <w:sz w:val="16"/>
          <w:szCs w:val="20"/>
        </w:rPr>
        <w:t xml:space="preserve">               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70" w:history="1">
        <w:r w:rsidRPr="002E2E4E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1" w:history="1">
        <w:r w:rsidRPr="002E2E4E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lastRenderedPageBreak/>
        <w:t xml:space="preserve">Наименование бюджета            _________________________________   по </w:t>
      </w:r>
      <w:hyperlink r:id="rId72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3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        │                </w:t>
      </w:r>
      <w:proofErr w:type="spellStart"/>
      <w:r w:rsidRPr="002E2E4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spacing w:after="0" w:line="240" w:lineRule="auto"/>
        <w:rPr>
          <w:rFonts w:ascii="Courier New" w:hAnsi="Courier New" w:cs="Courier New"/>
        </w:rPr>
        <w:sectPr w:rsidR="00E922DE" w:rsidRPr="002E2E4E" w:rsidSect="00CF68A7">
          <w:pgSz w:w="16838" w:h="11905" w:orient="landscape"/>
          <w:pgMar w:top="1134" w:right="1134" w:bottom="851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E922DE" w:rsidRPr="002E2E4E" w:rsidTr="00CC318C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E922DE" w:rsidRPr="002E2E4E" w:rsidTr="00CC318C">
        <w:tc>
          <w:tcPr>
            <w:tcW w:w="1622" w:type="dxa"/>
            <w:tcBorders>
              <w:lef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номер</w:t>
            </w:r>
          </w:p>
        </w:tc>
        <w:tc>
          <w:tcPr>
            <w:tcW w:w="2095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дата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номер</w:t>
            </w:r>
          </w:p>
        </w:tc>
      </w:tr>
      <w:tr w:rsidR="00E922DE" w:rsidRPr="002E2E4E" w:rsidTr="00CC318C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Cs w:val="20"/>
              </w:rPr>
              <w:t>6</w:t>
            </w:r>
          </w:p>
        </w:tc>
      </w:tr>
      <w:tr w:rsidR="00E922DE" w:rsidRPr="002E2E4E" w:rsidTr="00CC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E922DE" w:rsidRPr="002E2E4E" w:rsidRDefault="00E922DE" w:rsidP="00E9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r w:rsidRPr="002E2E4E">
        <w:rPr>
          <w:rFonts w:ascii="Courier New" w:hAnsi="Courier New" w:cs="Courier New"/>
          <w:szCs w:val="20"/>
        </w:rPr>
        <w:t>--------------------------------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hAnsi="Courier New" w:cs="Courier New"/>
          <w:szCs w:val="20"/>
        </w:rPr>
      </w:pPr>
      <w:bookmarkStart w:id="23" w:name="P706"/>
      <w:bookmarkEnd w:id="23"/>
      <w:r w:rsidRPr="002E2E4E">
        <w:rPr>
          <w:rFonts w:ascii="Courier New" w:hAnsi="Courier New" w:cs="Courier New"/>
          <w:szCs w:val="20"/>
        </w:rPr>
        <w:t>&lt;*&gt; Заполняется при наличии.</w:t>
      </w: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E922DE" w:rsidRPr="002E2E4E" w:rsidRDefault="00E922DE" w:rsidP="00E922DE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E922DE" w:rsidRPr="002E2E4E" w:rsidRDefault="00E922DE" w:rsidP="00E922DE">
      <w:pPr>
        <w:widowControl w:val="0"/>
        <w:autoSpaceDE w:val="0"/>
        <w:autoSpaceDN w:val="0"/>
        <w:adjustRightInd w:val="0"/>
        <w:ind w:firstLine="70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E922DE" w:rsidRPr="002E2E4E" w:rsidRDefault="00E922DE" w:rsidP="00E922D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922DE" w:rsidRDefault="00E922DE" w:rsidP="00E922DE">
      <w:pPr>
        <w:tabs>
          <w:tab w:val="left" w:pos="5640"/>
        </w:tabs>
        <w:jc w:val="center"/>
        <w:rPr>
          <w:sz w:val="28"/>
          <w:szCs w:val="28"/>
        </w:rPr>
      </w:pPr>
    </w:p>
    <w:p w:rsidR="00E922DE" w:rsidRDefault="00E922DE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2C" w:rsidRDefault="00B2352C" w:rsidP="00B2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97" w:rsidRDefault="000C4597"/>
    <w:sectPr w:rsidR="000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E3"/>
    <w:multiLevelType w:val="hybridMultilevel"/>
    <w:tmpl w:val="08807C82"/>
    <w:lvl w:ilvl="0" w:tplc="EE5A7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A6E"/>
    <w:multiLevelType w:val="hybridMultilevel"/>
    <w:tmpl w:val="E5E4D762"/>
    <w:lvl w:ilvl="0" w:tplc="4C0A7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751"/>
    <w:multiLevelType w:val="hybridMultilevel"/>
    <w:tmpl w:val="C74A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4443"/>
    <w:multiLevelType w:val="hybridMultilevel"/>
    <w:tmpl w:val="310AB0B2"/>
    <w:lvl w:ilvl="0" w:tplc="2F1003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613726"/>
    <w:multiLevelType w:val="hybridMultilevel"/>
    <w:tmpl w:val="AC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6F9"/>
    <w:multiLevelType w:val="hybridMultilevel"/>
    <w:tmpl w:val="D9120202"/>
    <w:lvl w:ilvl="0" w:tplc="C206D9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04D13A0"/>
    <w:multiLevelType w:val="hybridMultilevel"/>
    <w:tmpl w:val="3DCA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848"/>
    <w:multiLevelType w:val="hybridMultilevel"/>
    <w:tmpl w:val="8E003906"/>
    <w:lvl w:ilvl="0" w:tplc="82CE8C16">
      <w:start w:val="7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CD54FF0"/>
    <w:multiLevelType w:val="hybridMultilevel"/>
    <w:tmpl w:val="298C448C"/>
    <w:lvl w:ilvl="0" w:tplc="C1323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2A2F14"/>
    <w:multiLevelType w:val="hybridMultilevel"/>
    <w:tmpl w:val="1C1CD0EE"/>
    <w:lvl w:ilvl="0" w:tplc="121C401E">
      <w:start w:val="7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2497683C"/>
    <w:multiLevelType w:val="hybridMultilevel"/>
    <w:tmpl w:val="8340AEA4"/>
    <w:lvl w:ilvl="0" w:tplc="790433E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CA7B9C"/>
    <w:multiLevelType w:val="hybridMultilevel"/>
    <w:tmpl w:val="3B64F824"/>
    <w:lvl w:ilvl="0" w:tplc="3F5C1D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D2B71"/>
    <w:multiLevelType w:val="hybridMultilevel"/>
    <w:tmpl w:val="303C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A4BB7"/>
    <w:multiLevelType w:val="hybridMultilevel"/>
    <w:tmpl w:val="EDAA4E10"/>
    <w:lvl w:ilvl="0" w:tplc="0C1625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977BE"/>
    <w:multiLevelType w:val="hybridMultilevel"/>
    <w:tmpl w:val="477851F2"/>
    <w:lvl w:ilvl="0" w:tplc="F40AEE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A2129FB"/>
    <w:multiLevelType w:val="hybridMultilevel"/>
    <w:tmpl w:val="441EA04E"/>
    <w:lvl w:ilvl="0" w:tplc="F43C672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CBC"/>
    <w:multiLevelType w:val="hybridMultilevel"/>
    <w:tmpl w:val="738C6318"/>
    <w:lvl w:ilvl="0" w:tplc="54361EC2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6ED1075C"/>
    <w:multiLevelType w:val="hybridMultilevel"/>
    <w:tmpl w:val="EEFA8E02"/>
    <w:lvl w:ilvl="0" w:tplc="6A10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705076B4"/>
    <w:multiLevelType w:val="hybridMultilevel"/>
    <w:tmpl w:val="DEC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0572E"/>
    <w:multiLevelType w:val="hybridMultilevel"/>
    <w:tmpl w:val="2C00553A"/>
    <w:lvl w:ilvl="0" w:tplc="451E0A3E">
      <w:start w:val="7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72987C9A"/>
    <w:multiLevelType w:val="hybridMultilevel"/>
    <w:tmpl w:val="FC388D82"/>
    <w:lvl w:ilvl="0" w:tplc="B0C4DB9E">
      <w:start w:val="7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6"/>
  </w:num>
  <w:num w:numId="7">
    <w:abstractNumId w:val="19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20"/>
  </w:num>
  <w:num w:numId="13">
    <w:abstractNumId w:val="21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52C"/>
    <w:rsid w:val="000C4597"/>
    <w:rsid w:val="00B2352C"/>
    <w:rsid w:val="00E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9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E922D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9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9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922D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E92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2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922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No Spacing"/>
    <w:uiPriority w:val="1"/>
    <w:qFormat/>
    <w:rsid w:val="00E9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922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922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22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2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922DE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922D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8" Type="http://schemas.openxmlformats.org/officeDocument/2006/relationships/hyperlink" Target="consultantplus://offline/ref=5E94EDFA519A73A2792A22926010A0AAD232F41F60358FF4BF5E6F90899FEF55845DC83E43A5B6CD6A143BA85C3D671B610A02F1B6G" TargetMode="External"/><Relationship Id="rId26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9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21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34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42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47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0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5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3" Type="http://schemas.openxmlformats.org/officeDocument/2006/relationships/hyperlink" Target="consultantplus://offline/ref=5E94EDFA519A73A2792A22926010A0AAD231F41D6C348FF4BF5E6F90899FEF55845DC83D48F1E38837126EFE066968046414021D998FE467F5B4G" TargetMode="External"/><Relationship Id="rId6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71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9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11" Type="http://schemas.openxmlformats.org/officeDocument/2006/relationships/hyperlink" Target="consultantplus://offline/ref=5E94EDFA519A73A2792A22926010A0AAD231F41D6C348FF4BF5E6F90899FEF55965D903149F6F9883D0738AF43F3B5G" TargetMode="External"/><Relationship Id="rId24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2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37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45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3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8" Type="http://schemas.openxmlformats.org/officeDocument/2006/relationships/hyperlink" Target="consultantplus://offline/ref=5E94EDFA519A73A2792A22926010A0AAD232F31D6D348FF4BF5E6F90899FEF55965D903149F6F9883D0738AF43F3B5G" TargetMode="External"/><Relationship Id="rId66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3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28" Type="http://schemas.openxmlformats.org/officeDocument/2006/relationships/hyperlink" Target="consultantplus://offline/ref=5E94EDFA519A73A2792A22926010A0AAD231F41D6C348FF4BF5E6F90899FEF55965D903149F6F9883D0738AF43F3B5G" TargetMode="External"/><Relationship Id="rId36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7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1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10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9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31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2" Type="http://schemas.openxmlformats.org/officeDocument/2006/relationships/hyperlink" Target="consultantplus://offline/ref=5E94EDFA519A73A2792A22926010A0AAD232F31D6D348FF4BF5E6F90899FEF55965D903149F6F9883D0738AF43F3B5G" TargetMode="External"/><Relationship Id="rId6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5" Type="http://schemas.openxmlformats.org/officeDocument/2006/relationships/hyperlink" Target="consultantplus://offline/ref=5E94EDFA519A73A2792A22926010A0AAD232F31D6D348FF4BF5E6F90899FEF55965D903149F6F9883D0738AF43F3B5G" TargetMode="External"/><Relationship Id="rId73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14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2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27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30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35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3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4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6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9" Type="http://schemas.openxmlformats.org/officeDocument/2006/relationships/hyperlink" Target="consultantplus://offline/ref=5E94EDFA519A73A2792A22926010A0AAD233F4186D348FF4BF5E6F90899FEF55845DC83D48F1E5813B126EFE066968046414021D998FE467F5B4G" TargetMode="External"/><Relationship Id="rId8" Type="http://schemas.openxmlformats.org/officeDocument/2006/relationships/hyperlink" Target="consultantplus://offline/ref=5E94EDFA519A73A2792A22926010A0AAD333F5186B358FF4BF5E6F90899FEF55965D903149F6F9883D0738AF43F3B5G" TargetMode="External"/><Relationship Id="rId51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72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7" Type="http://schemas.openxmlformats.org/officeDocument/2006/relationships/hyperlink" Target="consultantplus://offline/ref=5E94EDFA519A73A2792A22926010A0AAD232F41F60358FF4BF5E6F90899FEF55845DC83D43A5B6CD6A143BA85C3D671B610A02F1B6G" TargetMode="External"/><Relationship Id="rId25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3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38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46" Type="http://schemas.openxmlformats.org/officeDocument/2006/relationships/hyperlink" Target="consultantplus://offline/ref=5E94EDFA519A73A2792A22926010A0AAD232F31D6D348FF4BF5E6F90899FEF55965D903149F6F9883D0738AF43F3B5G" TargetMode="External"/><Relationship Id="rId59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7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20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41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54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2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70" Type="http://schemas.openxmlformats.org/officeDocument/2006/relationships/hyperlink" Target="consultantplus://offline/ref=5E94EDFA519A73A2792A22926010A0AAD232F31D6D348FF4BF5E6F90899FEF55965D903149F6F9883D0738AF43F3B5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4EDFA519A73A2792A22926010A0AAD231F41D6C348FF4BF5E6F90899FEF55845DC83D48F0E48036126EFE066968046414021D998FE467F5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CE5-FFE5-486E-B4A7-A56EE75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9366</Words>
  <Characters>53389</Characters>
  <Application>Microsoft Office Word</Application>
  <DocSecurity>0</DocSecurity>
  <Lines>444</Lines>
  <Paragraphs>125</Paragraphs>
  <ScaleCrop>false</ScaleCrop>
  <Company>Администрация СП Чураевский сельсовет</Company>
  <LinksUpToDate>false</LinksUpToDate>
  <CharactersWithSpaces>62630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2020-02-19T06:24:00Z</dcterms:created>
  <dcterms:modified xsi:type="dcterms:W3CDTF">2020-02-19T06:34:00Z</dcterms:modified>
</cp:coreProperties>
</file>