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DB" w:rsidRDefault="004879DB" w:rsidP="00B142F8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4879DB" w:rsidRDefault="004879DB" w:rsidP="00B14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4879DB" w:rsidRDefault="004879DB" w:rsidP="00B14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879DB" w:rsidRDefault="004879DB" w:rsidP="00B142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79DB" w:rsidRDefault="004879DB" w:rsidP="00B14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879DB" w:rsidP="00B14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2019  года № 117</w:t>
      </w:r>
    </w:p>
    <w:p w:rsidR="00B142F8" w:rsidRPr="00B142F8" w:rsidRDefault="00B142F8" w:rsidP="00B14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F8" w:rsidRDefault="00B142F8" w:rsidP="00B142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42F8">
        <w:rPr>
          <w:rFonts w:ascii="Times New Roman" w:hAnsi="Times New Roman" w:cs="Times New Roman"/>
          <w:sz w:val="28"/>
        </w:rPr>
        <w:t xml:space="preserve">Об утверждении порядка составления и ведения кассового плана исполнения бюджетного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B142F8" w:rsidRPr="00B142F8" w:rsidRDefault="00B142F8" w:rsidP="00B142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142F8">
        <w:rPr>
          <w:rFonts w:ascii="Times New Roman" w:hAnsi="Times New Roman" w:cs="Times New Roman"/>
          <w:sz w:val="28"/>
        </w:rPr>
        <w:t xml:space="preserve">В соответствии со статьей 217.1 Бюджетного кодекса Российской Федерации утвердить прилагаемый Порядок составления и ведения кассового плана исполнения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</w:rPr>
        <w:t xml:space="preserve"> Республики Башкортостан в текущем финансовом году.</w:t>
      </w:r>
    </w:p>
    <w:p w:rsidR="00B142F8" w:rsidRPr="00B142F8" w:rsidRDefault="00B142F8" w:rsidP="00B142F8">
      <w:pPr>
        <w:pStyle w:val="aa"/>
        <w:numPr>
          <w:ilvl w:val="0"/>
          <w:numId w:val="26"/>
        </w:numPr>
        <w:jc w:val="both"/>
        <w:rPr>
          <w:rFonts w:cs="Times New Roman"/>
        </w:rPr>
      </w:pPr>
      <w:r w:rsidRPr="00B142F8">
        <w:rPr>
          <w:rFonts w:cs="Times New Roman"/>
        </w:rPr>
        <w:t xml:space="preserve">Поручить Администрации сельского поселения Чураевский сельсовет </w:t>
      </w:r>
    </w:p>
    <w:p w:rsidR="00B142F8" w:rsidRPr="00B142F8" w:rsidRDefault="00B142F8" w:rsidP="00B142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42F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</w:rPr>
        <w:t xml:space="preserve"> район Республики Башкортостан проведение ежемесячного </w:t>
      </w:r>
      <w:proofErr w:type="gramStart"/>
      <w:r w:rsidRPr="00B142F8">
        <w:rPr>
          <w:rFonts w:ascii="Times New Roman" w:hAnsi="Times New Roman" w:cs="Times New Roman"/>
          <w:sz w:val="28"/>
        </w:rPr>
        <w:t>анализа исполнения кассового плана исполнения бюджета сельского поселения</w:t>
      </w:r>
      <w:proofErr w:type="gramEnd"/>
      <w:r w:rsidRPr="00B142F8">
        <w:rPr>
          <w:rFonts w:ascii="Times New Roman" w:hAnsi="Times New Roman" w:cs="Times New Roman"/>
          <w:sz w:val="28"/>
        </w:rPr>
        <w:t xml:space="preserve">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</w:rPr>
        <w:t xml:space="preserve"> район Республики Башкортостан главным распорядителями средств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B142F8" w:rsidRPr="00B142F8" w:rsidRDefault="00B142F8" w:rsidP="00B142F8">
      <w:pPr>
        <w:pStyle w:val="aa"/>
        <w:numPr>
          <w:ilvl w:val="0"/>
          <w:numId w:val="26"/>
        </w:numPr>
        <w:jc w:val="both"/>
        <w:rPr>
          <w:rFonts w:cs="Times New Roman"/>
        </w:rPr>
      </w:pPr>
      <w:r w:rsidRPr="00B142F8">
        <w:rPr>
          <w:rFonts w:cs="Times New Roman"/>
        </w:rPr>
        <w:t xml:space="preserve">Контроль за исполнением настоящего Постановления оставляю </w:t>
      </w:r>
      <w:proofErr w:type="gramStart"/>
      <w:r w:rsidRPr="00B142F8">
        <w:rPr>
          <w:rFonts w:cs="Times New Roman"/>
        </w:rPr>
        <w:t>за</w:t>
      </w:r>
      <w:proofErr w:type="gramEnd"/>
      <w:r w:rsidRPr="00B142F8">
        <w:rPr>
          <w:rFonts w:cs="Times New Roman"/>
        </w:rPr>
        <w:t xml:space="preserve"> </w:t>
      </w:r>
    </w:p>
    <w:p w:rsidR="00B142F8" w:rsidRDefault="00B142F8" w:rsidP="00B142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42F8">
        <w:rPr>
          <w:rFonts w:ascii="Times New Roman" w:hAnsi="Times New Roman" w:cs="Times New Roman"/>
          <w:sz w:val="28"/>
        </w:rPr>
        <w:t xml:space="preserve">собой. </w:t>
      </w:r>
    </w:p>
    <w:p w:rsidR="00B142F8" w:rsidRPr="00B142F8" w:rsidRDefault="00B142F8" w:rsidP="00B142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142F8">
        <w:rPr>
          <w:rFonts w:ascii="Times New Roman" w:hAnsi="Times New Roman" w:cs="Times New Roman"/>
          <w:sz w:val="28"/>
        </w:rPr>
        <w:t>И.о. главы администрации</w:t>
      </w:r>
    </w:p>
    <w:p w:rsidR="00B142F8" w:rsidRDefault="00B142F8" w:rsidP="00B142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142F8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</w:t>
      </w:r>
    </w:p>
    <w:p w:rsidR="00B142F8" w:rsidRPr="00B142F8" w:rsidRDefault="00B142F8" w:rsidP="00B142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142F8">
        <w:rPr>
          <w:rFonts w:ascii="Times New Roman" w:hAnsi="Times New Roman" w:cs="Times New Roman"/>
          <w:sz w:val="28"/>
        </w:rPr>
        <w:t>В.М. Семенова</w:t>
      </w: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</w:p>
    <w:p w:rsidR="00B142F8" w:rsidRPr="00B142F8" w:rsidRDefault="00B142F8" w:rsidP="00B142F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142F8" w:rsidRPr="00B142F8" w:rsidRDefault="00B142F8" w:rsidP="00B142F8">
      <w:pPr>
        <w:pStyle w:val="ConsPlusNormal"/>
        <w:jc w:val="right"/>
        <w:outlineLvl w:val="0"/>
        <w:rPr>
          <w:rFonts w:ascii="Times New Roman" w:hAnsi="Times New Roman" w:cs="Times New Roman"/>
          <w:sz w:val="16"/>
        </w:rPr>
      </w:pPr>
    </w:p>
    <w:p w:rsidR="00B142F8" w:rsidRPr="00B142F8" w:rsidRDefault="00B142F8" w:rsidP="00B142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2F8">
        <w:rPr>
          <w:rFonts w:ascii="Times New Roman" w:hAnsi="Times New Roman" w:cs="Times New Roman"/>
          <w:sz w:val="24"/>
          <w:szCs w:val="24"/>
        </w:rPr>
        <w:t>Утвержден</w:t>
      </w:r>
    </w:p>
    <w:p w:rsidR="00B142F8" w:rsidRPr="00B142F8" w:rsidRDefault="00B142F8" w:rsidP="00B1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2F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142F8" w:rsidRPr="00B142F8" w:rsidRDefault="00B142F8" w:rsidP="00B1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42F8" w:rsidRPr="00B142F8" w:rsidRDefault="00B142F8" w:rsidP="00B1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2F8">
        <w:rPr>
          <w:rFonts w:ascii="Times New Roman" w:hAnsi="Times New Roman" w:cs="Times New Roman"/>
          <w:sz w:val="24"/>
          <w:szCs w:val="24"/>
        </w:rPr>
        <w:t xml:space="preserve">Чураевский сельсовет </w:t>
      </w:r>
    </w:p>
    <w:p w:rsidR="00B142F8" w:rsidRPr="00B142F8" w:rsidRDefault="00B142F8" w:rsidP="00B1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2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142F8" w:rsidRPr="00B142F8" w:rsidRDefault="00B142F8" w:rsidP="00B1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42F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B142F8" w:rsidRPr="00B142F8" w:rsidRDefault="00B142F8" w:rsidP="00B1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2F8">
        <w:rPr>
          <w:rFonts w:ascii="Times New Roman" w:hAnsi="Times New Roman" w:cs="Times New Roman"/>
          <w:sz w:val="24"/>
          <w:szCs w:val="24"/>
        </w:rPr>
        <w:t xml:space="preserve">от 19 декабря  2019 г. № 117   </w:t>
      </w:r>
    </w:p>
    <w:p w:rsidR="00B142F8" w:rsidRPr="00B142F8" w:rsidRDefault="00B142F8" w:rsidP="00B142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42F8" w:rsidRPr="00B142F8" w:rsidRDefault="00B142F8" w:rsidP="00B14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142F8">
        <w:rPr>
          <w:rFonts w:ascii="Times New Roman" w:hAnsi="Times New Roman" w:cs="Times New Roman"/>
          <w:sz w:val="28"/>
          <w:szCs w:val="28"/>
        </w:rPr>
        <w:t>ПОРЯДОК</w:t>
      </w:r>
    </w:p>
    <w:p w:rsidR="00B142F8" w:rsidRPr="00B142F8" w:rsidRDefault="00B142F8" w:rsidP="00B14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СЕЛЬСКОГО ПОСЕЛЕНИЯ ЧУРАЕВСКИЙ СЕЛЬСОВЕТ </w:t>
      </w:r>
    </w:p>
    <w:p w:rsidR="00B142F8" w:rsidRPr="00B142F8" w:rsidRDefault="00B142F8" w:rsidP="00B14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В ТЕКУЩЕМ ФИНАНСОВОМ ГОДУ</w:t>
      </w:r>
    </w:p>
    <w:p w:rsidR="00B142F8" w:rsidRPr="00B142F8" w:rsidRDefault="00B142F8" w:rsidP="00B142F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142F8" w:rsidRPr="00B142F8" w:rsidRDefault="00B142F8" w:rsidP="00B1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B142F8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693" w:history="1">
        <w:r w:rsidRPr="00B142F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главой сельского поселения (лицом, исполняющим его обязанности).</w:t>
      </w:r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54" w:history="1">
        <w:r w:rsidRPr="00B142F8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83" w:history="1">
        <w:r w:rsidRPr="00B142F8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108" w:history="1">
        <w:r w:rsidRPr="00B142F8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B142F8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B142F8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42F8" w:rsidRPr="00B142F8" w:rsidRDefault="00B142F8" w:rsidP="00B1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B142F8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B142F8" w:rsidRPr="00B142F8" w:rsidRDefault="00B142F8" w:rsidP="00B14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БЮДЖЕТА СЕЛЬСКОГО ПОСЕЛЕНИЯ ЧУРАЕВСКИЙ СЕЛЬСОВЕТ   МУНИЦИПАЛЬНОГО РАЙОНА МИШКИНКИЙ РАЙОН РЕСПУБЛИКИ БАШКОРТОСТАН</w:t>
      </w:r>
    </w:p>
    <w:p w:rsidR="00B142F8" w:rsidRPr="00B142F8" w:rsidRDefault="00B142F8" w:rsidP="00B1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162" w:history="1">
        <w:r w:rsidRPr="00B142F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N 1 к настоящему Порядку), полученных от главных администраторов доходов бюджета сельского поселения Чураевский сельсовет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Администрации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 сельского поселения), в части безвозмездных поступлений из  бюджета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отражаемых по главе 791.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 сельского поселения Чураевский сельсовет муниципального района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по главе 791 в Администрацию сельского поселения.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администраторы доходов бюджета сельского поселения Чураевский сельсовет муниципального района 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формируют уточненные </w:t>
      </w:r>
      <w:hyperlink w:anchor="P162" w:history="1">
        <w:r w:rsidRPr="00B142F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ими поступлений соответствующих доходов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N 1 к настоящему Порядку).</w:t>
      </w:r>
      <w:proofErr w:type="gramEnd"/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</w:t>
      </w:r>
      <w:r w:rsidRPr="00B142F8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фактические кассовые поступления доходов в бюджет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 в Администрацию сельского поселения  в электронном виде - ежемесячно, не позднее четвертого рабочего дня текущего месяца, по безвозмездным поступлениям в Администрацию сельского поселения 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дня текущего месяца.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Администрацию сельского поселения.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</w:t>
      </w:r>
      <w:hyperlink w:anchor="P1387" w:history="1">
        <w:r w:rsidRPr="00B142F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согласованные главой сельского поселения  сведения о помесячном распределении поступлений налоговых и неналоговых доходов в бюджет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N 8 к настоящему Порядку) и направляет в Администрацию сельского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>;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  <w:bookmarkStart w:id="3" w:name="P83"/>
      <w:bookmarkEnd w:id="3"/>
    </w:p>
    <w:p w:rsidR="00B142F8" w:rsidRPr="00B142F8" w:rsidRDefault="00B142F8" w:rsidP="00B142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B142F8" w:rsidRPr="00B142F8" w:rsidRDefault="00B142F8" w:rsidP="00B14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ЧУРАЕВСКИЙ СЕЛЬСОВЕТ  МУНИЦИПАЛЬНОГО РАЙОНА </w:t>
      </w:r>
      <w:r w:rsidRPr="00B142F8">
        <w:rPr>
          <w:rFonts w:ascii="Times New Roman" w:hAnsi="Times New Roman" w:cs="Times New Roman"/>
          <w:sz w:val="28"/>
          <w:szCs w:val="28"/>
        </w:rPr>
        <w:lastRenderedPageBreak/>
        <w:t>МИШКИНСКИЙ РАЙОН  РЕСПУБЛИКИ БАШКОРТОСТАН</w:t>
      </w:r>
    </w:p>
    <w:p w:rsidR="00B142F8" w:rsidRPr="00B142F8" w:rsidRDefault="00B142F8" w:rsidP="00B1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B142F8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B142F8" w:rsidRPr="00B142F8" w:rsidRDefault="00B142F8" w:rsidP="00B1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главные распорядители), Администрация сельского поселения  по главе 791 формируют </w:t>
      </w:r>
      <w:hyperlink w:anchor="P272" w:history="1">
        <w:r w:rsidRPr="00B142F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  <w:proofErr w:type="gramEnd"/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 в электронном виде с применением электронной подписи не позднее пятого рабочего дня со дня утверждения Решения Совета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Чураевский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распорядители,  Администрация сельского поселения  по главе 791 формируют уточненный </w:t>
      </w:r>
      <w:hyperlink w:anchor="P272" w:history="1">
        <w:r w:rsidRPr="00B142F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Администрацию сельского поселения в электронном виде с применением электронной подписи.</w:t>
      </w:r>
      <w:proofErr w:type="gramEnd"/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внесением изменений в показатели сводной бюджетной росписи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12. Администрация сельского поселения формирует свод указанных сведений после согласования с главой сельского поселения  и направляет главным распорядителям по форме согласно </w:t>
      </w:r>
      <w:hyperlink w:anchor="P272" w:history="1">
        <w:r w:rsidRPr="00B142F8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 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B142F8" w:rsidRPr="00B142F8" w:rsidRDefault="00B142F8" w:rsidP="00B1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B142F8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B142F8" w:rsidRPr="00B142F8" w:rsidRDefault="00B142F8" w:rsidP="00B14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 ЧУРАЕВСКИЙ СЕЛЬСОВЕТ   МУНИЦИПАЛЬНОГО РАЙОНА МИШКИНСКИЙ РАЙОН РЕСПУБЛИКИ БАШКОРТОСТАН</w:t>
      </w:r>
    </w:p>
    <w:p w:rsidR="00B142F8" w:rsidRPr="00B142F8" w:rsidRDefault="00B142F8" w:rsidP="00B1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B142F8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Чураевский сельсовет </w:t>
      </w:r>
      <w:r w:rsidRPr="00B142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Порядку);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 дня утверждения Решения Совета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и представляет в Администрацию сельского поселения  не позднее третьего рабочего дня января года, следующего за отчетным, согласованный заместитель главы администрации – начальником финансового управления, </w:t>
      </w:r>
      <w:hyperlink w:anchor="P380" w:history="1">
        <w:r w:rsidRPr="00B142F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15. Администрация сельского поселения  для осуществления им полномочий (функций) главных администраторов (администраторов) источников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формирует в электронном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и представляют в Администрацию сельского поселения не позднее не позднее третьего рабочего дня января года, следующего за отчетным, согласованный  главой сельского поселения, </w:t>
      </w:r>
      <w:hyperlink w:anchor="P380" w:history="1">
        <w:r w:rsidRPr="00B142F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142F8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на текущий финансовый год с помесячной детализацией.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муниципального района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в период с февраля по декабрь текущего финансового года в Администрацию сельского поселения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и представляет в Администрацию сельского поселения в период с февраля по декабрь текущего финансового года ежемесячно не позднее пятого рабочего дня текущего месяца, согласованный заместителем главой администрацией – начальником финансового управления, уточненный </w:t>
      </w:r>
      <w:hyperlink w:anchor="P380" w:history="1">
        <w:r w:rsidRPr="00B142F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кассовых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поступлений и кассовых выплат по источникам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формирует в электронном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и представляют в Администрацию сельского поселения в период с февраля по декабрь текущего финансового года ежемесячно не позднее пятого рабочего дня текущего месяца, согласованный главой сельского поселения, уточненный </w:t>
      </w:r>
      <w:hyperlink w:anchor="P380" w:history="1">
        <w:r w:rsidRPr="00B142F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(приложение N 3 к настоящему Порядку).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Чураевский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сельсоветмуниципального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представляет в Администрацию сельского поселения пояснительную записку с отражением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причин указанного отклонения ежемесячно не позднее 15 числа месяца, следующего за отчетным периодом.</w:t>
      </w:r>
    </w:p>
    <w:p w:rsidR="00B142F8" w:rsidRPr="00B142F8" w:rsidRDefault="00B142F8" w:rsidP="00B1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V. ПОРЯДОК СВОДА, СОСТАВЛЕНИЯ И ВЕДЕНИЯ КАССОВОГО ПЛАНА ИСПОЛНЕНИЯ БЮДЖЕТА СЕЛЬСКОГО ПОСЕЛЕНИЯ ЧУРАЕВСКИЙ СЕЛЬСОВЕТ  МИШКИНСКИЙ РАЙОН  </w:t>
      </w:r>
    </w:p>
    <w:p w:rsidR="00B142F8" w:rsidRPr="00B142F8" w:rsidRDefault="00B142F8" w:rsidP="00B142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142F8" w:rsidRPr="00B142F8" w:rsidRDefault="00B142F8" w:rsidP="00B1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hyperlink w:anchor="P693" w:history="1">
        <w:r w:rsidRPr="00B142F8">
          <w:rPr>
            <w:rFonts w:ascii="Times New Roman" w:hAnsi="Times New Roman" w:cs="Times New Roman"/>
            <w:sz w:val="28"/>
            <w:szCs w:val="28"/>
          </w:rPr>
          <w:t>приложении N 5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B142F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B142F8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сельского поселения (приложение N 5 к настоящему Порядку)  не позднее пятнадцатого рабочего дня со  дня утверждения Решения Совета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B142F8">
        <w:rPr>
          <w:rFonts w:ascii="Times New Roman" w:hAnsi="Times New Roman" w:cs="Times New Roman"/>
          <w:sz w:val="28"/>
          <w:szCs w:val="28"/>
        </w:rPr>
        <w:t xml:space="preserve">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подлежат согласованию главой сельского поселения.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F8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142F8" w:rsidRPr="00B142F8" w:rsidRDefault="00B142F8" w:rsidP="00B1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142F8" w:rsidRPr="00B142F8" w:rsidSect="00E956BB">
          <w:pgSz w:w="11905" w:h="16838"/>
          <w:pgMar w:top="568" w:right="851" w:bottom="1134" w:left="1418" w:header="0" w:footer="0" w:gutter="0"/>
          <w:cols w:space="720"/>
          <w:docGrid w:linePitch="326"/>
        </w:sectPr>
      </w:pPr>
      <w:r w:rsidRPr="00B142F8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142F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Порядка.</w:t>
      </w:r>
      <w:proofErr w:type="gramEnd"/>
    </w:p>
    <w:p w:rsidR="00B142F8" w:rsidRDefault="00B142F8" w:rsidP="00B142F8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16"/>
          <w:szCs w:val="16"/>
        </w:rPr>
        <w:sectPr w:rsidR="00B142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lastRenderedPageBreak/>
        <w:t xml:space="preserve">           Приложение N 1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Чураевский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в текущем финансовом году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СВЕДЕНИЯ О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ПОМЕСЯЧНОМ </w:t>
      </w:r>
      <w:proofErr w:type="gramStart"/>
      <w:r w:rsidRPr="00B142F8">
        <w:rPr>
          <w:rFonts w:ascii="Times New Roman" w:hAnsi="Times New Roman" w:cs="Times New Roman"/>
          <w:sz w:val="20"/>
          <w:szCs w:val="20"/>
        </w:rPr>
        <w:t>РАСПРЕДЕЛЕНИИ</w:t>
      </w:r>
      <w:proofErr w:type="gramEnd"/>
      <w:r w:rsidRPr="00B142F8">
        <w:rPr>
          <w:rFonts w:ascii="Times New Roman" w:hAnsi="Times New Roman" w:cs="Times New Roman"/>
          <w:sz w:val="20"/>
          <w:szCs w:val="20"/>
        </w:rPr>
        <w:t xml:space="preserve"> ПОСТУПЛЕНИЙ ДОХОДОВ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В БЮДЖЕТ СЕЛЬСКОГО ПОСЕЛЕНИЯ ЧУРАЕВСКИЙ СЕЛЬСОВЕТ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МУНИЦИПАЛЬНОГО РАЙОНА МИШКИНСКИЙ РАЙОН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РЕСПУБЛИКИ БАШКОРТОСТАН НА 20____ ГОД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N ____                                                        │     КОДЫ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от "_____" ________________ 20___ г.                       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Дата│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        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│              </w:t>
      </w:r>
      <w:r w:rsidRPr="00B142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Главный администратор доходов                                                                                                 по ППП│         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Чураевский сельсовет муниципального района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  район Республики Башкортостан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 w:rsidRPr="00B142F8">
          <w:rPr>
            <w:rFonts w:ascii="Times New Roman" w:hAnsi="Times New Roman" w:cs="Times New Roman"/>
            <w:color w:val="0000FF"/>
            <w:sz w:val="20"/>
            <w:szCs w:val="20"/>
          </w:rPr>
          <w:t>ОКЕИ</w:t>
        </w:r>
      </w:hyperlink>
      <w:r w:rsidRPr="00B142F8">
        <w:rPr>
          <w:rFonts w:ascii="Times New Roman" w:hAnsi="Times New Roman" w:cs="Times New Roman"/>
          <w:sz w:val="20"/>
          <w:szCs w:val="20"/>
        </w:rPr>
        <w:t>│     383 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37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709"/>
        <w:gridCol w:w="708"/>
        <w:gridCol w:w="850"/>
        <w:gridCol w:w="709"/>
        <w:gridCol w:w="1134"/>
        <w:gridCol w:w="709"/>
        <w:gridCol w:w="567"/>
        <w:gridCol w:w="709"/>
        <w:gridCol w:w="1134"/>
        <w:gridCol w:w="709"/>
        <w:gridCol w:w="992"/>
        <w:gridCol w:w="993"/>
        <w:gridCol w:w="992"/>
        <w:gridCol w:w="708"/>
        <w:gridCol w:w="709"/>
        <w:gridCol w:w="851"/>
        <w:gridCol w:w="708"/>
      </w:tblGrid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B142F8" w:rsidRPr="00B142F8" w:rsidTr="00CC318C">
        <w:trPr>
          <w:trHeight w:val="299"/>
        </w:trPr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42F8" w:rsidRPr="00B142F8" w:rsidTr="00CC318C">
        <w:trPr>
          <w:trHeight w:val="235"/>
        </w:trPr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Руководитель        _____________   ___________________________________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(Начальник отдела)    (подпись)         (расшифровка подписи)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lastRenderedPageBreak/>
        <w:t>Исполнитель    _____________ ____________ ______________________ ___________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"_____" __________________ 20___ г.</w:t>
      </w: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Чураевский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район  Республики Башкортостан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в текущем финансовом году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ПРОГНОЗ КАССОВЫХ ВЫПЛАТ ПО РАСХОДАМ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БЮДЖЕТА СЕЛЬКОГО ПОСЕЛЕНИЯ ЧУРАЕВСКИЙ СЕЛЬСОВЕТ МУНИЦИПАЛЬНОГО РАЙОНА МИШКИНСКИЙ РАЙОН РЕСПУБЛИКИ БАШКОРТОСТАН N 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│     КОДЫ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от "______" ________________ 20___ г.                          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Дата│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        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Главный распорядитель средств бюджета сельского поселения  Чураевский сельсовет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______________________________________________________                         по ППП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B142F8">
          <w:rPr>
            <w:rFonts w:ascii="Times New Roman" w:hAnsi="Times New Roman" w:cs="Times New Roman"/>
            <w:color w:val="0000FF"/>
            <w:sz w:val="20"/>
            <w:szCs w:val="20"/>
          </w:rPr>
          <w:t>ОКЕИ</w:t>
        </w:r>
      </w:hyperlink>
      <w:r w:rsidRPr="00B142F8">
        <w:rPr>
          <w:rFonts w:ascii="Times New Roman" w:hAnsi="Times New Roman" w:cs="Times New Roman"/>
          <w:sz w:val="20"/>
          <w:szCs w:val="20"/>
        </w:rPr>
        <w:t>│     383 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647"/>
        <w:gridCol w:w="917"/>
        <w:gridCol w:w="926"/>
        <w:gridCol w:w="768"/>
        <w:gridCol w:w="933"/>
        <w:gridCol w:w="817"/>
        <w:gridCol w:w="768"/>
        <w:gridCol w:w="791"/>
        <w:gridCol w:w="1026"/>
        <w:gridCol w:w="688"/>
        <w:gridCol w:w="850"/>
        <w:gridCol w:w="893"/>
        <w:gridCol w:w="984"/>
        <w:gridCol w:w="926"/>
        <w:gridCol w:w="830"/>
        <w:gridCol w:w="709"/>
        <w:gridCol w:w="782"/>
      </w:tblGrid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tabs>
                <w:tab w:val="left" w:pos="405"/>
              </w:tabs>
              <w:autoSpaceDE w:val="0"/>
              <w:autoSpaceDN w:val="0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91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3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1 ,квартал</w:t>
            </w:r>
          </w:p>
        </w:tc>
        <w:tc>
          <w:tcPr>
            <w:tcW w:w="81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9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за 1 полугодие</w:t>
            </w:r>
          </w:p>
        </w:tc>
        <w:tc>
          <w:tcPr>
            <w:tcW w:w="68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8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</w:p>
        </w:tc>
        <w:tc>
          <w:tcPr>
            <w:tcW w:w="9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3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8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Руководитель        _____________   ___________________________________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(Начальник отдела)    (подпись)         (расшифровка подписи)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Исполнитель    _____________ ____________ ______________________ ___________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"_____" __________________ 20___ г.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бюджета  сельского поселения Чураевский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в текущем финансовом году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ПРОГНОЗ КАССОВЫХ ПОСТУПЛЕНИЙ И КАССОВЫХ ВЫПЛАТ </w:t>
      </w:r>
      <w:proofErr w:type="gramStart"/>
      <w:r w:rsidRPr="00B142F8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ИСТОЧНИКАМ ФИНАНСИРОВАНИЯ ДЕФИЦИТА БЮДЖЕТА СЕЛЬСКОГО ПОСЕЛЕНИЯ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ЧУРАЕВСКИЙ СЕЛЬСОВЕТ МУНИЦИПАЛЬНОГО РАЙОНА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МИШКИНСКИЙ РАЙОН РЕСПУБЛИКИ БАШКОРТОСТАН N ___                                                                                        ┌──────────────┐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│     КОДЫ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от "_____" __________________ 20__ г.                       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Дата│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        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по ППП│         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Главный администратор </w:t>
      </w:r>
      <w:proofErr w:type="gramStart"/>
      <w:r w:rsidRPr="00B142F8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сельского поселения</w:t>
      </w:r>
      <w:proofErr w:type="gramEnd"/>
      <w:r w:rsidRPr="00B142F8">
        <w:rPr>
          <w:rFonts w:ascii="Times New Roman" w:hAnsi="Times New Roman" w:cs="Times New Roman"/>
          <w:sz w:val="20"/>
          <w:szCs w:val="20"/>
        </w:rPr>
        <w:t xml:space="preserve"> __________________________________               ├──────────────┤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(соответствующий отраслевой отдел)                                                                                                 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 w:rsidRPr="00B142F8">
          <w:rPr>
            <w:rFonts w:ascii="Times New Roman" w:hAnsi="Times New Roman" w:cs="Times New Roman"/>
            <w:color w:val="0000FF"/>
            <w:sz w:val="20"/>
            <w:szCs w:val="20"/>
          </w:rPr>
          <w:t>ОКЕИ</w:t>
        </w:r>
      </w:hyperlink>
      <w:r w:rsidRPr="00B142F8">
        <w:rPr>
          <w:rFonts w:ascii="Times New Roman" w:hAnsi="Times New Roman" w:cs="Times New Roman"/>
          <w:sz w:val="20"/>
          <w:szCs w:val="20"/>
        </w:rPr>
        <w:t>│     383      │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└──────────────┘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709"/>
        <w:gridCol w:w="850"/>
        <w:gridCol w:w="915"/>
        <w:gridCol w:w="768"/>
        <w:gridCol w:w="1152"/>
        <w:gridCol w:w="789"/>
        <w:gridCol w:w="768"/>
        <w:gridCol w:w="704"/>
        <w:gridCol w:w="938"/>
        <w:gridCol w:w="840"/>
        <w:gridCol w:w="960"/>
        <w:gridCol w:w="893"/>
        <w:gridCol w:w="850"/>
        <w:gridCol w:w="851"/>
        <w:gridCol w:w="850"/>
        <w:gridCol w:w="556"/>
        <w:gridCol w:w="862"/>
      </w:tblGrid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15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5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78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3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за 1 полугодие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6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5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6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Кассовые выплаты, всего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Кассовые поступления, всего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148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Руководитель        _____________   ___________________________________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(Начальник отдела)    (подпись)         (расшифровка подписи)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Исполнитель    _____________ ____________ ______________________ ___________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"_____" __________________ 20___ г.</w:t>
      </w: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lastRenderedPageBreak/>
        <w:t>Приложение N 5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и ведения кассового плана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бюджета сельского поселения Чураевский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в текущем финансовом году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УТВЕРЖДАЮ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Глава сельского поселения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ab/>
      </w:r>
      <w:r w:rsidRPr="00B142F8">
        <w:rPr>
          <w:rFonts w:ascii="Times New Roman" w:hAnsi="Times New Roman" w:cs="Times New Roman"/>
          <w:sz w:val="20"/>
          <w:szCs w:val="20"/>
        </w:rPr>
        <w:tab/>
      </w:r>
      <w:r w:rsidRPr="00B142F8">
        <w:rPr>
          <w:rFonts w:ascii="Times New Roman" w:hAnsi="Times New Roman" w:cs="Times New Roman"/>
          <w:sz w:val="20"/>
          <w:szCs w:val="20"/>
        </w:rPr>
        <w:tab/>
      </w:r>
      <w:r w:rsidRPr="00B142F8">
        <w:rPr>
          <w:rFonts w:ascii="Times New Roman" w:hAnsi="Times New Roman" w:cs="Times New Roman"/>
          <w:sz w:val="20"/>
          <w:szCs w:val="20"/>
        </w:rPr>
        <w:tab/>
      </w:r>
      <w:r w:rsidRPr="00B142F8">
        <w:rPr>
          <w:rFonts w:ascii="Times New Roman" w:hAnsi="Times New Roman" w:cs="Times New Roman"/>
          <w:sz w:val="20"/>
          <w:szCs w:val="20"/>
        </w:rPr>
        <w:tab/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_________ _____________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(И.О.Фамилия)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"__" ________ 20__ г.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P693"/>
      <w:bookmarkEnd w:id="5"/>
      <w:r w:rsidRPr="00B142F8">
        <w:rPr>
          <w:rFonts w:ascii="Times New Roman" w:hAnsi="Times New Roman" w:cs="Times New Roman"/>
          <w:sz w:val="20"/>
          <w:szCs w:val="20"/>
        </w:rPr>
        <w:t>КАССОВЫЙ ПЛАН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ИСПОЛНЕНИЯ БЮДЖЕТА СЕЛЬСКОГО ПОСЕЛЕНИЯ ЧУРАЕВСКИЙ СЕЛЬСОВЕТ МУНИЦИПАЛЬНОГО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РАЙОНА МИШКИНСКИЙ РАЙОН РЕСПУБЛИКИ БАШКОРТОСТАН на 20__ г.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на "__" ___________ 20__ г.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Наименование органа,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42F8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Pr="00B142F8">
        <w:rPr>
          <w:rFonts w:ascii="Times New Roman" w:hAnsi="Times New Roman" w:cs="Times New Roman"/>
          <w:sz w:val="20"/>
          <w:szCs w:val="20"/>
        </w:rPr>
        <w:t xml:space="preserve"> составление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и ведение кассового плана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исполнения бюджета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сельского поселения Чураевский сельсовет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Республики Башкортостан    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АДМИНИСТРАЦИЯ СЕЛЬСКОГО ПОСЕЛЕНИЯ ЧУРАЕВСКИЙ СЕЛЬСОВЕТ МУНИЦИПАЛЬНОГО РАЙОНА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МИШКИНСКИЙ РАЙОН РЕСПУБЛИКИ БАШКОРТОСТАН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B142F8" w:rsidRPr="00B142F8" w:rsidTr="00CC318C">
        <w:tc>
          <w:tcPr>
            <w:tcW w:w="389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B142F8" w:rsidRPr="00B142F8" w:rsidTr="00CC318C">
        <w:tc>
          <w:tcPr>
            <w:tcW w:w="389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Остатки на едином счете бюджета СП Чураевский сельсовет МР </w:t>
            </w:r>
            <w:proofErr w:type="spellStart"/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Мишкинский</w:t>
            </w:r>
            <w:proofErr w:type="spellEnd"/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РБ на начало отчетного периода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Кассовые поступления - всего,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доходы,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источников финансирования дефицита бюджета СП Чураевский сельсовет МР </w:t>
            </w:r>
            <w:proofErr w:type="spellStart"/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Мишкинский</w:t>
            </w:r>
            <w:proofErr w:type="spellEnd"/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- всего,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0240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0241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0241_1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0241_2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0242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0243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0244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0245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возврат средств СП Чураевский сельсовет МР </w:t>
            </w:r>
            <w:proofErr w:type="spellStart"/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Мишкинский</w:t>
            </w:r>
            <w:proofErr w:type="spellEnd"/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из банковских </w:t>
            </w:r>
            <w:r w:rsidRPr="00B14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депозитов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0246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в том числе расходы,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0311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0312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0312_2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0312_3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0313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0323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0324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Выплаты из источников финансирования дефицита бюджета Республики Башкортостан - всего,</w:t>
            </w:r>
          </w:p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0331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0332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0334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0335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0336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rPr>
          <w:trHeight w:val="569"/>
        </w:trPr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389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Остатки на едином счете СП Чураевский сельсовет МР </w:t>
            </w:r>
            <w:proofErr w:type="spellStart"/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Мишкинский</w:t>
            </w:r>
            <w:proofErr w:type="spellEnd"/>
            <w:r w:rsidRPr="00B142F8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на конец отчетного периода</w:t>
            </w: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Приложение N 8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сельского поселения Чураевский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142F8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B142F8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в текущем финансовом году</w:t>
      </w:r>
    </w:p>
    <w:p w:rsidR="00B142F8" w:rsidRPr="00B142F8" w:rsidRDefault="00B142F8" w:rsidP="00B14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СВЕДЕНИЯ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О ПОМЕСЯЧНОМ РАСПРЕДЕЛЕНИИ ПОСТУПЛЕНИЙ НАЛОГОВЫХ И НЕНАЛОГОВЫХ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ДОХОДОВ В БЮДЖЕТ СЕЛЬСКОГО ПОСЕЛЕНИЯ ЧУРАЕВСКИЙ СЕЛЬСОВЕТ МУНИЦПАЛЬНОГО РАЙОНА МИШКИНСКИЙ РАЙОН РЕСПУБЛИКИ БАШКОРТОСТАН НА 20__ ГОД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на "__" ___________ 20__ г.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1304"/>
      </w:tblGrid>
      <w:tr w:rsidR="00B142F8" w:rsidRPr="00B142F8" w:rsidTr="00CC318C">
        <w:tc>
          <w:tcPr>
            <w:tcW w:w="2897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04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B142F8" w:rsidRPr="00B142F8" w:rsidTr="00CC318C">
        <w:tc>
          <w:tcPr>
            <w:tcW w:w="2897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4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42F8" w:rsidRPr="00B142F8" w:rsidTr="00CC318C">
        <w:tc>
          <w:tcPr>
            <w:tcW w:w="289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289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F8" w:rsidRPr="00B142F8" w:rsidTr="00CC318C">
        <w:tc>
          <w:tcPr>
            <w:tcW w:w="2897" w:type="dxa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F8"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142F8" w:rsidRPr="00B142F8" w:rsidRDefault="00B142F8" w:rsidP="00B1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Главный экономист по доходам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(иное уполномоченное лицо)   _________    _______________________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                             (подпись)     (расшифровка подписи)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СОГЛАСОВАНО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 xml:space="preserve">Глава сельского поселения 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(иное уполномоченное лицо)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_________  _____________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(подпись)  (И.О.Фамилия)</w:t>
      </w:r>
    </w:p>
    <w:p w:rsidR="00B142F8" w:rsidRPr="00B142F8" w:rsidRDefault="00B142F8" w:rsidP="00B14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2F8">
        <w:rPr>
          <w:rFonts w:ascii="Times New Roman" w:hAnsi="Times New Roman" w:cs="Times New Roman"/>
          <w:sz w:val="20"/>
          <w:szCs w:val="20"/>
        </w:rPr>
        <w:t>"__" __________ 20__ г.</w:t>
      </w:r>
    </w:p>
    <w:p w:rsidR="00B142F8" w:rsidRPr="00B142F8" w:rsidRDefault="00B142F8" w:rsidP="00B14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2F8" w:rsidRPr="00B142F8" w:rsidRDefault="00B142F8" w:rsidP="00B14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42F8" w:rsidRPr="00B142F8" w:rsidSect="00B142F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818"/>
    <w:multiLevelType w:val="hybridMultilevel"/>
    <w:tmpl w:val="DEF87ABC"/>
    <w:lvl w:ilvl="0" w:tplc="DE3072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702616"/>
    <w:multiLevelType w:val="multilevel"/>
    <w:tmpl w:val="AA2A8D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">
    <w:nsid w:val="04DB68EA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839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70E4C"/>
    <w:multiLevelType w:val="hybridMultilevel"/>
    <w:tmpl w:val="AE4870EA"/>
    <w:lvl w:ilvl="0" w:tplc="5EE4C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5503B2"/>
    <w:multiLevelType w:val="hybridMultilevel"/>
    <w:tmpl w:val="137E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F7B"/>
    <w:multiLevelType w:val="multilevel"/>
    <w:tmpl w:val="C8EE1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AB375C5"/>
    <w:multiLevelType w:val="hybridMultilevel"/>
    <w:tmpl w:val="6BE844A8"/>
    <w:lvl w:ilvl="0" w:tplc="9E582A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5A16F2"/>
    <w:multiLevelType w:val="hybridMultilevel"/>
    <w:tmpl w:val="6BE844A8"/>
    <w:lvl w:ilvl="0" w:tplc="9E582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E6E2547"/>
    <w:multiLevelType w:val="hybridMultilevel"/>
    <w:tmpl w:val="229E6184"/>
    <w:lvl w:ilvl="0" w:tplc="D79869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AF18B2"/>
    <w:multiLevelType w:val="hybridMultilevel"/>
    <w:tmpl w:val="F2D804CC"/>
    <w:lvl w:ilvl="0" w:tplc="9B1AE196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B41F3"/>
    <w:multiLevelType w:val="hybridMultilevel"/>
    <w:tmpl w:val="EDBC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458EC"/>
    <w:multiLevelType w:val="hybridMultilevel"/>
    <w:tmpl w:val="A428121A"/>
    <w:lvl w:ilvl="0" w:tplc="DE781EB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E82601D"/>
    <w:multiLevelType w:val="hybridMultilevel"/>
    <w:tmpl w:val="E19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011EC"/>
    <w:multiLevelType w:val="multilevel"/>
    <w:tmpl w:val="FA8ED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34BF3F17"/>
    <w:multiLevelType w:val="multilevel"/>
    <w:tmpl w:val="2AA2E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5">
    <w:nsid w:val="356655BB"/>
    <w:multiLevelType w:val="multilevel"/>
    <w:tmpl w:val="4C943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17434B"/>
    <w:multiLevelType w:val="multilevel"/>
    <w:tmpl w:val="A0485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507B5272"/>
    <w:multiLevelType w:val="hybridMultilevel"/>
    <w:tmpl w:val="07EEADFA"/>
    <w:lvl w:ilvl="0" w:tplc="E9004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341079"/>
    <w:multiLevelType w:val="hybridMultilevel"/>
    <w:tmpl w:val="BA5A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315F5"/>
    <w:multiLevelType w:val="hybridMultilevel"/>
    <w:tmpl w:val="53F07124"/>
    <w:lvl w:ilvl="0" w:tplc="9034B4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3CF558C"/>
    <w:multiLevelType w:val="hybridMultilevel"/>
    <w:tmpl w:val="6BE844A8"/>
    <w:lvl w:ilvl="0" w:tplc="9E582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7D827B1"/>
    <w:multiLevelType w:val="hybridMultilevel"/>
    <w:tmpl w:val="6BE844A8"/>
    <w:lvl w:ilvl="0" w:tplc="9E582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BF55C03"/>
    <w:multiLevelType w:val="hybridMultilevel"/>
    <w:tmpl w:val="6542239C"/>
    <w:lvl w:ilvl="0" w:tplc="03CAAA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C0868"/>
    <w:multiLevelType w:val="hybridMultilevel"/>
    <w:tmpl w:val="6BE844A8"/>
    <w:lvl w:ilvl="0" w:tplc="9E582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A7E02B2"/>
    <w:multiLevelType w:val="hybridMultilevel"/>
    <w:tmpl w:val="392A4EA4"/>
    <w:lvl w:ilvl="0" w:tplc="572E09E2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4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0"/>
  </w:num>
  <w:num w:numId="17">
    <w:abstractNumId w:val="6"/>
  </w:num>
  <w:num w:numId="18">
    <w:abstractNumId w:val="21"/>
  </w:num>
  <w:num w:numId="19">
    <w:abstractNumId w:val="23"/>
  </w:num>
  <w:num w:numId="20">
    <w:abstractNumId w:val="7"/>
  </w:num>
  <w:num w:numId="21">
    <w:abstractNumId w:val="2"/>
  </w:num>
  <w:num w:numId="22">
    <w:abstractNumId w:val="18"/>
  </w:num>
  <w:num w:numId="23">
    <w:abstractNumId w:val="19"/>
  </w:num>
  <w:num w:numId="24">
    <w:abstractNumId w:val="3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9DB"/>
    <w:rsid w:val="004879DB"/>
    <w:rsid w:val="00B1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2F8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B142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142F8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B142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14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1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4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B142F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B142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142F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B142F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142F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B142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142F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nhideWhenUsed/>
    <w:rsid w:val="00B142F8"/>
    <w:rPr>
      <w:color w:val="0000FF"/>
      <w:u w:val="single"/>
    </w:rPr>
  </w:style>
  <w:style w:type="paragraph" w:customStyle="1" w:styleId="11">
    <w:name w:val="марк список 1"/>
    <w:basedOn w:val="a"/>
    <w:rsid w:val="00B142F8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basedOn w:val="a0"/>
    <w:rsid w:val="00B142F8"/>
    <w:rPr>
      <w:rFonts w:cs="Times New Roman"/>
    </w:rPr>
  </w:style>
  <w:style w:type="paragraph" w:styleId="a9">
    <w:name w:val="Normal (Web)"/>
    <w:basedOn w:val="a"/>
    <w:uiPriority w:val="99"/>
    <w:unhideWhenUsed/>
    <w:rsid w:val="00B1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14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uiPriority w:val="99"/>
    <w:qFormat/>
    <w:rsid w:val="00B142F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99"/>
    <w:qFormat/>
    <w:rsid w:val="00B142F8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  <w:style w:type="paragraph" w:styleId="ab">
    <w:name w:val="Balloon Text"/>
    <w:basedOn w:val="a"/>
    <w:link w:val="ac"/>
    <w:uiPriority w:val="99"/>
    <w:unhideWhenUsed/>
    <w:rsid w:val="00B142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142F8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142F8"/>
  </w:style>
  <w:style w:type="paragraph" w:customStyle="1" w:styleId="Style5">
    <w:name w:val="Style5"/>
    <w:basedOn w:val="a"/>
    <w:uiPriority w:val="99"/>
    <w:rsid w:val="00B142F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DB2A3E4D86DA5FEA6F573FC7A3A6782F9179B779FA6D16F7C844CA8E76925DE6195255DCEB0F8FB669F1B59OCi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9DB2A3E4D86DA5FEA6F573FC7A3A6782F9179B779FA6D16F7C844CA8E76925DE6195255DCEB0F8FB669F1B59OCi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DB2A3E4D86DA5FEA6F573FC7A3A6782F9179B779FA6D16F7C844CA8E76925DE6195255DCEB0F8FB669F1B59OCiDO" TargetMode="External"/><Relationship Id="rId5" Type="http://schemas.openxmlformats.org/officeDocument/2006/relationships/hyperlink" Target="consultantplus://offline/ref=8C9DB2A3E4D86DA5FEA6F573FC7A3A6782FA159A7A96A6D16F7C844CA8E76925CC61CD2A59C8A8F2AD29D94E55C53AB51212BE7CFA1FO0i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5762</Words>
  <Characters>32848</Characters>
  <Application>Microsoft Office Word</Application>
  <DocSecurity>0</DocSecurity>
  <Lines>273</Lines>
  <Paragraphs>77</Paragraphs>
  <ScaleCrop>false</ScaleCrop>
  <Company>Администрация СП Чураевский сельсовет</Company>
  <LinksUpToDate>false</LinksUpToDate>
  <CharactersWithSpaces>38533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2020-02-19T06:43:00Z</dcterms:created>
  <dcterms:modified xsi:type="dcterms:W3CDTF">2020-02-19T06:53:00Z</dcterms:modified>
</cp:coreProperties>
</file>